
<file path=[Content_Types].xml><?xml version="1.0" encoding="utf-8"?>
<Types xmlns="http://schemas.openxmlformats.org/package/2006/content-types">
  <Default Extension="xml" ContentType="application/xml"/>
  <Default Extension="bin" ContentType="application/vnd.openxmlformats-officedocument.oleObject"/>
  <Default Extension="png" ContentType="image/png"/>
  <Default Extension="wmf" ContentType="image/x-wmf"/>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E67F1F5">
      <w:pPr>
        <w:autoSpaceDE w:val="0"/>
        <w:autoSpaceDN w:val="0"/>
        <w:adjustRightInd w:val="0"/>
        <w:snapToGrid w:val="0"/>
        <w:spacing w:line="360" w:lineRule="auto"/>
        <w:jc w:val="center"/>
        <w:outlineLvl w:val="0"/>
        <w:rPr>
          <w:rFonts w:ascii="宋体" w:hAnsi="宋体" w:cs="宋体"/>
          <w:b/>
          <w:bCs/>
          <w:color w:val="auto"/>
          <w:sz w:val="44"/>
          <w:szCs w:val="44"/>
          <w:highlight w:val="none"/>
        </w:rPr>
      </w:pPr>
      <w:bookmarkStart w:id="0" w:name="_Toc5111"/>
      <w:bookmarkStart w:id="1" w:name="A4"/>
    </w:p>
    <w:bookmarkEnd w:id="0"/>
    <w:p w14:paraId="4F0B9D91">
      <w:pPr>
        <w:autoSpaceDE w:val="0"/>
        <w:autoSpaceDN w:val="0"/>
        <w:adjustRightInd w:val="0"/>
        <w:snapToGrid w:val="0"/>
        <w:spacing w:line="360" w:lineRule="auto"/>
        <w:jc w:val="center"/>
        <w:outlineLvl w:val="0"/>
        <w:rPr>
          <w:rFonts w:hint="default" w:ascii="宋体" w:hAnsi="宋体" w:eastAsia="宋体" w:cs="宋体"/>
          <w:b/>
          <w:bCs/>
          <w:color w:val="auto"/>
          <w:kern w:val="0"/>
          <w:sz w:val="48"/>
          <w:szCs w:val="48"/>
          <w:highlight w:val="none"/>
          <w:lang w:val="en-US" w:eastAsia="zh-CN"/>
        </w:rPr>
      </w:pPr>
      <w:bookmarkStart w:id="2" w:name="_Toc145"/>
      <w:r>
        <w:rPr>
          <w:rFonts w:hint="eastAsia" w:ascii="宋体" w:hAnsi="宋体" w:eastAsia="宋体" w:cs="宋体"/>
          <w:b/>
          <w:bCs/>
          <w:color w:val="auto"/>
          <w:kern w:val="0"/>
          <w:sz w:val="48"/>
          <w:szCs w:val="48"/>
          <w:highlight w:val="none"/>
          <w:lang w:eastAsia="zh-CN"/>
        </w:rPr>
        <w:t>重庆市医药卫生学校</w:t>
      </w:r>
      <w:bookmarkEnd w:id="2"/>
      <w:r>
        <w:rPr>
          <w:rFonts w:hint="eastAsia" w:ascii="宋体" w:hAnsi="宋体" w:cs="宋体"/>
          <w:b/>
          <w:bCs/>
          <w:color w:val="auto"/>
          <w:kern w:val="0"/>
          <w:sz w:val="48"/>
          <w:szCs w:val="48"/>
          <w:highlight w:val="none"/>
          <w:lang w:val="en-US" w:eastAsia="zh-CN"/>
        </w:rPr>
        <w:t>附属医院</w:t>
      </w:r>
    </w:p>
    <w:p w14:paraId="460F9143">
      <w:pPr>
        <w:autoSpaceDE w:val="0"/>
        <w:autoSpaceDN w:val="0"/>
        <w:adjustRightInd w:val="0"/>
        <w:snapToGrid w:val="0"/>
        <w:spacing w:line="360" w:lineRule="auto"/>
        <w:jc w:val="center"/>
        <w:outlineLvl w:val="0"/>
        <w:rPr>
          <w:rFonts w:hint="eastAsia" w:ascii="宋体" w:hAnsi="宋体" w:eastAsia="宋体" w:cs="宋体"/>
          <w:b/>
          <w:bCs/>
          <w:color w:val="auto"/>
          <w:kern w:val="0"/>
          <w:sz w:val="48"/>
          <w:szCs w:val="48"/>
          <w:highlight w:val="none"/>
          <w:lang w:eastAsia="zh-CN"/>
        </w:rPr>
      </w:pPr>
      <w:bookmarkStart w:id="3" w:name="_Toc27297"/>
      <w:r>
        <w:rPr>
          <w:rFonts w:hint="eastAsia" w:ascii="宋体" w:hAnsi="宋体" w:cs="宋体"/>
          <w:b/>
          <w:bCs/>
          <w:color w:val="auto"/>
          <w:kern w:val="0"/>
          <w:sz w:val="48"/>
          <w:szCs w:val="48"/>
          <w:highlight w:val="none"/>
          <w:lang w:val="en-US" w:eastAsia="zh-CN"/>
        </w:rPr>
        <w:t>广场路面</w:t>
      </w:r>
      <w:r>
        <w:rPr>
          <w:rFonts w:hint="eastAsia" w:ascii="宋体" w:hAnsi="宋体" w:eastAsia="宋体" w:cs="宋体"/>
          <w:b/>
          <w:bCs/>
          <w:color w:val="auto"/>
          <w:kern w:val="0"/>
          <w:sz w:val="48"/>
          <w:szCs w:val="48"/>
          <w:highlight w:val="none"/>
          <w:lang w:eastAsia="zh-CN"/>
        </w:rPr>
        <w:t>维修改造项目</w:t>
      </w:r>
      <w:bookmarkEnd w:id="3"/>
    </w:p>
    <w:p w14:paraId="0C14D9BB">
      <w:pPr>
        <w:autoSpaceDE w:val="0"/>
        <w:autoSpaceDN w:val="0"/>
        <w:adjustRightInd w:val="0"/>
        <w:snapToGrid w:val="0"/>
        <w:spacing w:line="360" w:lineRule="auto"/>
        <w:rPr>
          <w:rFonts w:ascii="宋体" w:hAnsi="宋体" w:cs="宋体"/>
          <w:color w:val="auto"/>
          <w:kern w:val="0"/>
          <w:sz w:val="20"/>
          <w:szCs w:val="20"/>
          <w:highlight w:val="none"/>
        </w:rPr>
      </w:pPr>
    </w:p>
    <w:p w14:paraId="3FA0E620">
      <w:pPr>
        <w:pStyle w:val="5"/>
        <w:rPr>
          <w:rFonts w:ascii="宋体" w:hAnsi="宋体" w:eastAsia="宋体" w:cs="宋体"/>
          <w:color w:val="auto"/>
          <w:highlight w:val="none"/>
        </w:rPr>
      </w:pPr>
    </w:p>
    <w:p w14:paraId="4FEFD551">
      <w:pPr>
        <w:rPr>
          <w:rFonts w:ascii="宋体" w:hAnsi="宋体" w:cs="宋体"/>
          <w:color w:val="auto"/>
          <w:highlight w:val="none"/>
        </w:rPr>
      </w:pPr>
    </w:p>
    <w:p w14:paraId="02CF1826">
      <w:pPr>
        <w:jc w:val="center"/>
        <w:rPr>
          <w:rFonts w:ascii="宋体" w:hAnsi="宋体" w:cs="宋体"/>
          <w:color w:val="auto"/>
          <w:highlight w:val="none"/>
        </w:rPr>
      </w:pPr>
    </w:p>
    <w:p w14:paraId="231098F3">
      <w:pPr>
        <w:pStyle w:val="2"/>
        <w:rPr>
          <w:rFonts w:ascii="宋体" w:hAnsi="宋体" w:cs="宋体"/>
          <w:color w:val="auto"/>
          <w:highlight w:val="none"/>
        </w:rPr>
      </w:pPr>
    </w:p>
    <w:p w14:paraId="71F588A9">
      <w:pPr>
        <w:pStyle w:val="2"/>
        <w:rPr>
          <w:rFonts w:ascii="宋体" w:hAnsi="宋体" w:cs="宋体"/>
          <w:color w:val="auto"/>
          <w:highlight w:val="none"/>
        </w:rPr>
      </w:pPr>
    </w:p>
    <w:p w14:paraId="471212DD">
      <w:pPr>
        <w:pStyle w:val="2"/>
        <w:rPr>
          <w:rFonts w:ascii="宋体" w:hAnsi="宋体" w:cs="宋体"/>
          <w:color w:val="auto"/>
          <w:highlight w:val="none"/>
        </w:rPr>
      </w:pPr>
    </w:p>
    <w:p w14:paraId="22E33B28">
      <w:pPr>
        <w:rPr>
          <w:rFonts w:ascii="宋体" w:hAnsi="宋体" w:cs="宋体"/>
          <w:color w:val="auto"/>
          <w:highlight w:val="none"/>
        </w:rPr>
      </w:pPr>
    </w:p>
    <w:p w14:paraId="0DCE62DB">
      <w:pPr>
        <w:autoSpaceDE w:val="0"/>
        <w:autoSpaceDN w:val="0"/>
        <w:adjustRightInd w:val="0"/>
        <w:snapToGrid w:val="0"/>
        <w:spacing w:line="360" w:lineRule="auto"/>
        <w:rPr>
          <w:rFonts w:ascii="宋体" w:hAnsi="宋体" w:cs="宋体"/>
          <w:color w:val="auto"/>
          <w:kern w:val="0"/>
          <w:sz w:val="20"/>
          <w:szCs w:val="20"/>
          <w:highlight w:val="none"/>
        </w:rPr>
      </w:pPr>
    </w:p>
    <w:p w14:paraId="276D604F">
      <w:pPr>
        <w:pStyle w:val="2"/>
        <w:rPr>
          <w:color w:val="auto"/>
          <w:highlight w:val="none"/>
        </w:rPr>
      </w:pPr>
    </w:p>
    <w:p w14:paraId="158D9FB8">
      <w:pPr>
        <w:jc w:val="center"/>
        <w:rPr>
          <w:rFonts w:ascii="宋体" w:hAnsi="宋体" w:cs="宋体"/>
          <w:b/>
          <w:color w:val="auto"/>
          <w:spacing w:val="34"/>
          <w:kern w:val="0"/>
          <w:sz w:val="84"/>
          <w:szCs w:val="84"/>
          <w:highlight w:val="none"/>
        </w:rPr>
      </w:pPr>
      <w:r>
        <w:rPr>
          <w:rFonts w:hint="eastAsia" w:ascii="宋体" w:hAnsi="宋体" w:cs="宋体"/>
          <w:b/>
          <w:color w:val="auto"/>
          <w:spacing w:val="34"/>
          <w:kern w:val="0"/>
          <w:sz w:val="84"/>
          <w:szCs w:val="84"/>
          <w:highlight w:val="none"/>
        </w:rPr>
        <w:t>竞争性比选文件</w:t>
      </w:r>
    </w:p>
    <w:p w14:paraId="129A0733">
      <w:pPr>
        <w:autoSpaceDE w:val="0"/>
        <w:autoSpaceDN w:val="0"/>
        <w:adjustRightInd w:val="0"/>
        <w:snapToGrid w:val="0"/>
        <w:spacing w:line="360" w:lineRule="auto"/>
        <w:rPr>
          <w:rFonts w:ascii="宋体" w:hAnsi="宋体" w:cs="宋体"/>
          <w:b/>
          <w:bCs/>
          <w:color w:val="auto"/>
          <w:sz w:val="36"/>
          <w:szCs w:val="36"/>
          <w:highlight w:val="none"/>
        </w:rPr>
      </w:pPr>
    </w:p>
    <w:p w14:paraId="0C52362D">
      <w:pPr>
        <w:pStyle w:val="280"/>
        <w:rPr>
          <w:rFonts w:ascii="宋体" w:hAnsi="宋体" w:cs="宋体"/>
          <w:b w:val="0"/>
          <w:bCs/>
          <w:color w:val="auto"/>
          <w:sz w:val="36"/>
          <w:szCs w:val="36"/>
          <w:highlight w:val="none"/>
        </w:rPr>
      </w:pPr>
    </w:p>
    <w:p w14:paraId="3A43BF3C">
      <w:pPr>
        <w:rPr>
          <w:rFonts w:ascii="宋体" w:hAnsi="宋体" w:cs="宋体"/>
          <w:b/>
          <w:bCs/>
          <w:color w:val="auto"/>
          <w:sz w:val="36"/>
          <w:szCs w:val="36"/>
          <w:highlight w:val="none"/>
        </w:rPr>
      </w:pPr>
    </w:p>
    <w:p w14:paraId="53ACA076">
      <w:pPr>
        <w:rPr>
          <w:color w:val="auto"/>
          <w:highlight w:val="none"/>
        </w:rPr>
      </w:pPr>
    </w:p>
    <w:p w14:paraId="1D6B1752">
      <w:pPr>
        <w:pStyle w:val="280"/>
        <w:rPr>
          <w:color w:val="auto"/>
          <w:highlight w:val="none"/>
        </w:rPr>
      </w:pPr>
    </w:p>
    <w:p w14:paraId="181483DA">
      <w:pPr>
        <w:pStyle w:val="280"/>
        <w:rPr>
          <w:color w:val="auto"/>
          <w:highlight w:val="none"/>
        </w:rPr>
      </w:pPr>
    </w:p>
    <w:p w14:paraId="7009F52B">
      <w:pPr>
        <w:rPr>
          <w:rFonts w:ascii="宋体" w:hAnsi="宋体" w:cs="宋体"/>
          <w:color w:val="auto"/>
          <w:highlight w:val="none"/>
        </w:rPr>
      </w:pPr>
    </w:p>
    <w:p w14:paraId="45D85652">
      <w:pPr>
        <w:tabs>
          <w:tab w:val="left" w:pos="6498"/>
        </w:tabs>
        <w:autoSpaceDE w:val="0"/>
        <w:autoSpaceDN w:val="0"/>
        <w:adjustRightInd w:val="0"/>
        <w:snapToGrid w:val="0"/>
        <w:spacing w:line="360" w:lineRule="auto"/>
        <w:jc w:val="center"/>
        <w:outlineLvl w:val="0"/>
        <w:rPr>
          <w:rFonts w:hint="eastAsia" w:ascii="宋体" w:hAnsi="宋体" w:cs="宋体"/>
          <w:b/>
          <w:color w:val="auto"/>
          <w:w w:val="99"/>
          <w:kern w:val="0"/>
          <w:sz w:val="32"/>
          <w:szCs w:val="32"/>
          <w:highlight w:val="none"/>
        </w:rPr>
      </w:pPr>
      <w:bookmarkStart w:id="4" w:name="_Toc24067"/>
      <w:bookmarkStart w:id="5" w:name="_Toc24454"/>
      <w:bookmarkStart w:id="6" w:name="_Toc7279"/>
      <w:bookmarkStart w:id="7" w:name="_Toc7688"/>
      <w:bookmarkStart w:id="8" w:name="_Toc28210"/>
      <w:r>
        <w:rPr>
          <w:rFonts w:hint="eastAsia" w:ascii="宋体" w:hAnsi="宋体" w:cs="宋体"/>
          <w:b/>
          <w:color w:val="auto"/>
          <w:w w:val="99"/>
          <w:kern w:val="0"/>
          <w:sz w:val="32"/>
          <w:szCs w:val="32"/>
          <w:highlight w:val="none"/>
        </w:rPr>
        <w:t>比  选  人：</w:t>
      </w:r>
      <w:r>
        <w:rPr>
          <w:rFonts w:hint="eastAsia" w:ascii="宋体" w:hAnsi="宋体" w:cs="宋体"/>
          <w:b/>
          <w:color w:val="auto"/>
          <w:sz w:val="32"/>
          <w:szCs w:val="32"/>
          <w:highlight w:val="none"/>
          <w:u w:val="single"/>
          <w:lang w:eastAsia="zh-CN"/>
        </w:rPr>
        <w:t>重庆市医药卫生学校</w:t>
      </w:r>
      <w:bookmarkEnd w:id="4"/>
      <w:bookmarkEnd w:id="5"/>
      <w:bookmarkEnd w:id="6"/>
      <w:bookmarkEnd w:id="7"/>
      <w:bookmarkEnd w:id="8"/>
    </w:p>
    <w:p w14:paraId="18EFC0F7">
      <w:pPr>
        <w:pStyle w:val="2"/>
        <w:rPr>
          <w:highlight w:val="none"/>
        </w:rPr>
      </w:pPr>
    </w:p>
    <w:p w14:paraId="3B651D9C">
      <w:pPr>
        <w:pStyle w:val="5"/>
        <w:rPr>
          <w:rFonts w:ascii="宋体" w:hAnsi="宋体" w:eastAsia="宋体" w:cs="宋体"/>
          <w:color w:val="auto"/>
          <w:sz w:val="30"/>
          <w:szCs w:val="30"/>
          <w:highlight w:val="none"/>
        </w:rPr>
      </w:pPr>
      <w:bookmarkStart w:id="1524" w:name="_GoBack"/>
      <w:bookmarkEnd w:id="1524"/>
    </w:p>
    <w:p w14:paraId="625986E3">
      <w:pPr>
        <w:pStyle w:val="2"/>
        <w:rPr>
          <w:rFonts w:ascii="宋体" w:hAnsi="宋体" w:cs="宋体"/>
          <w:b/>
          <w:color w:val="auto"/>
          <w:w w:val="99"/>
          <w:sz w:val="30"/>
          <w:szCs w:val="30"/>
          <w:highlight w:val="none"/>
        </w:rPr>
      </w:pPr>
    </w:p>
    <w:p w14:paraId="1B78933E">
      <w:pPr>
        <w:autoSpaceDE w:val="0"/>
        <w:autoSpaceDN w:val="0"/>
        <w:adjustRightInd w:val="0"/>
        <w:snapToGrid w:val="0"/>
        <w:spacing w:line="360" w:lineRule="auto"/>
        <w:jc w:val="both"/>
        <w:rPr>
          <w:rFonts w:hint="eastAsia" w:ascii="宋体" w:hAnsi="宋体" w:cs="宋体"/>
          <w:b/>
          <w:color w:val="auto"/>
          <w:kern w:val="0"/>
          <w:sz w:val="30"/>
          <w:szCs w:val="30"/>
          <w:highlight w:val="none"/>
        </w:rPr>
      </w:pPr>
    </w:p>
    <w:p w14:paraId="289855AC">
      <w:pPr>
        <w:autoSpaceDE w:val="0"/>
        <w:autoSpaceDN w:val="0"/>
        <w:adjustRightInd w:val="0"/>
        <w:snapToGrid w:val="0"/>
        <w:spacing w:line="360" w:lineRule="auto"/>
        <w:ind w:firstLine="3313" w:firstLineChars="1100"/>
        <w:jc w:val="both"/>
        <w:rPr>
          <w:rFonts w:ascii="宋体" w:hAnsi="宋体" w:cs="宋体"/>
          <w:b/>
          <w:color w:val="auto"/>
          <w:kern w:val="0"/>
          <w:sz w:val="30"/>
          <w:szCs w:val="30"/>
          <w:highlight w:val="none"/>
        </w:rPr>
      </w:pPr>
      <w:r>
        <w:rPr>
          <w:rFonts w:hint="eastAsia" w:ascii="宋体" w:hAnsi="宋体" w:cs="宋体"/>
          <w:b/>
          <w:color w:val="auto"/>
          <w:kern w:val="0"/>
          <w:sz w:val="30"/>
          <w:szCs w:val="30"/>
          <w:highlight w:val="none"/>
        </w:rPr>
        <w:t>二〇二</w:t>
      </w:r>
      <w:r>
        <w:rPr>
          <w:rFonts w:hint="eastAsia" w:ascii="宋体" w:hAnsi="宋体" w:cs="宋体"/>
          <w:b/>
          <w:color w:val="auto"/>
          <w:kern w:val="0"/>
          <w:sz w:val="30"/>
          <w:szCs w:val="30"/>
          <w:highlight w:val="none"/>
          <w:lang w:val="en-US" w:eastAsia="zh-CN"/>
        </w:rPr>
        <w:t>五</w:t>
      </w:r>
      <w:r>
        <w:rPr>
          <w:rFonts w:hint="eastAsia" w:ascii="宋体" w:hAnsi="宋体" w:cs="宋体"/>
          <w:b/>
          <w:color w:val="auto"/>
          <w:kern w:val="0"/>
          <w:sz w:val="30"/>
          <w:szCs w:val="30"/>
          <w:highlight w:val="none"/>
        </w:rPr>
        <w:t>年</w:t>
      </w:r>
      <w:r>
        <w:rPr>
          <w:rFonts w:hint="eastAsia" w:ascii="宋体" w:hAnsi="宋体" w:cs="宋体"/>
          <w:b/>
          <w:color w:val="auto"/>
          <w:kern w:val="0"/>
          <w:sz w:val="30"/>
          <w:szCs w:val="30"/>
          <w:highlight w:val="none"/>
          <w:lang w:val="en-US" w:eastAsia="zh-CN"/>
        </w:rPr>
        <w:t>十二</w:t>
      </w:r>
      <w:r>
        <w:rPr>
          <w:rFonts w:hint="eastAsia" w:ascii="宋体" w:hAnsi="宋体" w:cs="宋体"/>
          <w:b/>
          <w:color w:val="auto"/>
          <w:kern w:val="0"/>
          <w:sz w:val="30"/>
          <w:szCs w:val="30"/>
          <w:highlight w:val="none"/>
        </w:rPr>
        <w:t>月</w:t>
      </w:r>
    </w:p>
    <w:p w14:paraId="56B4B915">
      <w:pPr>
        <w:autoSpaceDE w:val="0"/>
        <w:autoSpaceDN w:val="0"/>
        <w:adjustRightInd w:val="0"/>
        <w:snapToGrid w:val="0"/>
        <w:spacing w:line="360" w:lineRule="auto"/>
        <w:jc w:val="center"/>
        <w:rPr>
          <w:rFonts w:ascii="宋体" w:hAnsi="宋体" w:cs="宋体"/>
          <w:b/>
          <w:color w:val="auto"/>
          <w:kern w:val="0"/>
          <w:sz w:val="28"/>
          <w:szCs w:val="32"/>
          <w:highlight w:val="none"/>
        </w:rPr>
        <w:sectPr>
          <w:headerReference r:id="rId3" w:type="default"/>
          <w:pgSz w:w="11906" w:h="16838"/>
          <w:pgMar w:top="1134" w:right="1134" w:bottom="1134" w:left="1418" w:header="851" w:footer="992" w:gutter="0"/>
          <w:pgNumType w:start="1"/>
          <w:cols w:space="720" w:num="1"/>
          <w:docGrid w:linePitch="312" w:charSpace="0"/>
        </w:sectPr>
      </w:pPr>
    </w:p>
    <w:p w14:paraId="7C2F590E">
      <w:pPr>
        <w:autoSpaceDE w:val="0"/>
        <w:autoSpaceDN w:val="0"/>
        <w:adjustRightInd w:val="0"/>
        <w:snapToGrid w:val="0"/>
        <w:spacing w:line="360" w:lineRule="auto"/>
        <w:jc w:val="left"/>
        <w:rPr>
          <w:rFonts w:ascii="宋体" w:hAnsi="宋体" w:cs="宋体"/>
          <w:b/>
          <w:color w:val="auto"/>
          <w:kern w:val="0"/>
          <w:sz w:val="28"/>
          <w:szCs w:val="32"/>
          <w:highlight w:val="none"/>
        </w:rPr>
      </w:pPr>
    </w:p>
    <w:p w14:paraId="09E1DB03">
      <w:pPr>
        <w:autoSpaceDE w:val="0"/>
        <w:autoSpaceDN w:val="0"/>
        <w:adjustRightInd w:val="0"/>
        <w:snapToGrid w:val="0"/>
        <w:spacing w:line="360" w:lineRule="auto"/>
        <w:rPr>
          <w:rFonts w:ascii="宋体" w:hAnsi="宋体" w:cs="宋体"/>
          <w:b/>
          <w:color w:val="auto"/>
          <w:kern w:val="0"/>
          <w:sz w:val="24"/>
          <w:highlight w:val="none"/>
        </w:rPr>
      </w:pPr>
      <w:r>
        <w:rPr>
          <w:rFonts w:hint="eastAsia" w:ascii="宋体" w:hAnsi="宋体" w:cs="宋体"/>
          <w:b/>
          <w:color w:val="auto"/>
          <w:kern w:val="0"/>
          <w:sz w:val="24"/>
          <w:highlight w:val="none"/>
        </w:rPr>
        <w:t>特别说明：</w:t>
      </w:r>
    </w:p>
    <w:p w14:paraId="1F0FA8A0">
      <w:pPr>
        <w:autoSpaceDE w:val="0"/>
        <w:autoSpaceDN w:val="0"/>
        <w:adjustRightInd w:val="0"/>
        <w:snapToGrid w:val="0"/>
        <w:spacing w:line="360" w:lineRule="auto"/>
        <w:ind w:firstLine="477" w:firstLineChars="198"/>
        <w:rPr>
          <w:rFonts w:ascii="宋体" w:hAnsi="宋体" w:cs="宋体"/>
          <w:b/>
          <w:color w:val="auto"/>
          <w:kern w:val="0"/>
          <w:sz w:val="24"/>
          <w:highlight w:val="none"/>
        </w:rPr>
      </w:pPr>
      <w:r>
        <w:rPr>
          <w:rFonts w:hint="eastAsia" w:ascii="宋体" w:hAnsi="宋体" w:cs="宋体"/>
          <w:b/>
          <w:color w:val="auto"/>
          <w:kern w:val="0"/>
          <w:sz w:val="24"/>
          <w:highlight w:val="none"/>
        </w:rPr>
        <w:t>本比选文件第二章，竞选人须知前附表与竞选人须知不一致的以竞选人须知前附表内容为准。</w:t>
      </w:r>
    </w:p>
    <w:p w14:paraId="4584734E">
      <w:pPr>
        <w:autoSpaceDE w:val="0"/>
        <w:autoSpaceDN w:val="0"/>
        <w:adjustRightInd w:val="0"/>
        <w:snapToGrid w:val="0"/>
        <w:spacing w:line="360" w:lineRule="auto"/>
        <w:jc w:val="center"/>
        <w:rPr>
          <w:rFonts w:ascii="宋体" w:hAnsi="宋体" w:cs="宋体"/>
          <w:b/>
          <w:color w:val="auto"/>
          <w:kern w:val="0"/>
          <w:sz w:val="52"/>
          <w:szCs w:val="52"/>
          <w:highlight w:val="none"/>
        </w:rPr>
      </w:pPr>
      <w:r>
        <w:rPr>
          <w:rFonts w:hint="eastAsia" w:ascii="宋体" w:hAnsi="宋体" w:cs="宋体"/>
          <w:b/>
          <w:color w:val="auto"/>
          <w:kern w:val="0"/>
          <w:sz w:val="24"/>
          <w:highlight w:val="none"/>
        </w:rPr>
        <w:t xml:space="preserve">   本比选文件第三章，评标办法前附表与评标办法不一致的以评标办法前附表内容为准。</w:t>
      </w:r>
    </w:p>
    <w:p w14:paraId="6ED3708C">
      <w:pPr>
        <w:autoSpaceDE w:val="0"/>
        <w:autoSpaceDN w:val="0"/>
        <w:adjustRightInd w:val="0"/>
        <w:snapToGrid w:val="0"/>
        <w:spacing w:line="360" w:lineRule="auto"/>
        <w:jc w:val="center"/>
        <w:rPr>
          <w:rFonts w:ascii="宋体" w:hAnsi="宋体" w:cs="宋体"/>
          <w:b/>
          <w:color w:val="auto"/>
          <w:kern w:val="0"/>
          <w:sz w:val="52"/>
          <w:szCs w:val="52"/>
          <w:highlight w:val="none"/>
        </w:rPr>
      </w:pPr>
    </w:p>
    <w:p w14:paraId="6E77D42F">
      <w:pPr>
        <w:autoSpaceDE w:val="0"/>
        <w:autoSpaceDN w:val="0"/>
        <w:adjustRightInd w:val="0"/>
        <w:snapToGrid w:val="0"/>
        <w:spacing w:line="360" w:lineRule="auto"/>
        <w:jc w:val="center"/>
        <w:rPr>
          <w:rFonts w:ascii="宋体" w:hAnsi="宋体" w:cs="宋体"/>
          <w:b/>
          <w:color w:val="auto"/>
          <w:kern w:val="0"/>
          <w:sz w:val="52"/>
          <w:szCs w:val="52"/>
          <w:highlight w:val="none"/>
        </w:rPr>
      </w:pPr>
    </w:p>
    <w:p w14:paraId="6DEEA76D">
      <w:pPr>
        <w:autoSpaceDE w:val="0"/>
        <w:autoSpaceDN w:val="0"/>
        <w:adjustRightInd w:val="0"/>
        <w:snapToGrid w:val="0"/>
        <w:spacing w:line="360" w:lineRule="auto"/>
        <w:jc w:val="center"/>
        <w:rPr>
          <w:rFonts w:ascii="宋体" w:hAnsi="宋体" w:cs="宋体"/>
          <w:b/>
          <w:color w:val="auto"/>
          <w:kern w:val="0"/>
          <w:sz w:val="52"/>
          <w:szCs w:val="52"/>
          <w:highlight w:val="none"/>
        </w:rPr>
      </w:pPr>
    </w:p>
    <w:p w14:paraId="7C7197A9">
      <w:pPr>
        <w:autoSpaceDE w:val="0"/>
        <w:autoSpaceDN w:val="0"/>
        <w:adjustRightInd w:val="0"/>
        <w:snapToGrid w:val="0"/>
        <w:spacing w:line="360" w:lineRule="auto"/>
        <w:jc w:val="center"/>
        <w:rPr>
          <w:rFonts w:ascii="宋体" w:hAnsi="宋体" w:cs="宋体"/>
          <w:b/>
          <w:color w:val="auto"/>
          <w:kern w:val="0"/>
          <w:sz w:val="52"/>
          <w:szCs w:val="52"/>
          <w:highlight w:val="none"/>
        </w:rPr>
      </w:pPr>
    </w:p>
    <w:p w14:paraId="6EE1D805">
      <w:pPr>
        <w:autoSpaceDE w:val="0"/>
        <w:autoSpaceDN w:val="0"/>
        <w:adjustRightInd w:val="0"/>
        <w:snapToGrid w:val="0"/>
        <w:spacing w:line="360" w:lineRule="auto"/>
        <w:jc w:val="center"/>
        <w:rPr>
          <w:rFonts w:ascii="宋体" w:hAnsi="宋体" w:cs="宋体"/>
          <w:b/>
          <w:color w:val="auto"/>
          <w:kern w:val="0"/>
          <w:sz w:val="52"/>
          <w:szCs w:val="52"/>
          <w:highlight w:val="none"/>
        </w:rPr>
      </w:pPr>
    </w:p>
    <w:p w14:paraId="3D74AF06">
      <w:pPr>
        <w:autoSpaceDE w:val="0"/>
        <w:autoSpaceDN w:val="0"/>
        <w:adjustRightInd w:val="0"/>
        <w:snapToGrid w:val="0"/>
        <w:spacing w:line="360" w:lineRule="auto"/>
        <w:jc w:val="center"/>
        <w:rPr>
          <w:rFonts w:ascii="宋体" w:hAnsi="宋体" w:cs="宋体"/>
          <w:b/>
          <w:color w:val="auto"/>
          <w:kern w:val="0"/>
          <w:sz w:val="52"/>
          <w:szCs w:val="52"/>
          <w:highlight w:val="none"/>
        </w:rPr>
      </w:pPr>
    </w:p>
    <w:p w14:paraId="70E5CC1C">
      <w:pPr>
        <w:autoSpaceDE w:val="0"/>
        <w:autoSpaceDN w:val="0"/>
        <w:adjustRightInd w:val="0"/>
        <w:snapToGrid w:val="0"/>
        <w:spacing w:line="360" w:lineRule="auto"/>
        <w:jc w:val="center"/>
        <w:rPr>
          <w:rFonts w:ascii="宋体" w:hAnsi="宋体" w:cs="宋体"/>
          <w:b/>
          <w:color w:val="auto"/>
          <w:kern w:val="0"/>
          <w:sz w:val="52"/>
          <w:szCs w:val="52"/>
          <w:highlight w:val="none"/>
        </w:rPr>
      </w:pPr>
    </w:p>
    <w:p w14:paraId="0FA1F78B">
      <w:pPr>
        <w:autoSpaceDE w:val="0"/>
        <w:autoSpaceDN w:val="0"/>
        <w:adjustRightInd w:val="0"/>
        <w:snapToGrid w:val="0"/>
        <w:spacing w:line="360" w:lineRule="auto"/>
        <w:jc w:val="center"/>
        <w:rPr>
          <w:rFonts w:ascii="宋体" w:hAnsi="宋体" w:cs="宋体"/>
          <w:b/>
          <w:color w:val="auto"/>
          <w:kern w:val="0"/>
          <w:sz w:val="52"/>
          <w:szCs w:val="52"/>
          <w:highlight w:val="none"/>
        </w:rPr>
      </w:pPr>
    </w:p>
    <w:p w14:paraId="06D1DF19">
      <w:pPr>
        <w:autoSpaceDE w:val="0"/>
        <w:autoSpaceDN w:val="0"/>
        <w:adjustRightInd w:val="0"/>
        <w:snapToGrid w:val="0"/>
        <w:spacing w:line="360" w:lineRule="auto"/>
        <w:jc w:val="center"/>
        <w:rPr>
          <w:rFonts w:ascii="宋体" w:hAnsi="宋体" w:cs="宋体"/>
          <w:b/>
          <w:color w:val="auto"/>
          <w:kern w:val="0"/>
          <w:sz w:val="52"/>
          <w:szCs w:val="52"/>
          <w:highlight w:val="none"/>
        </w:rPr>
      </w:pPr>
    </w:p>
    <w:p w14:paraId="09D67D40">
      <w:pPr>
        <w:autoSpaceDE w:val="0"/>
        <w:autoSpaceDN w:val="0"/>
        <w:adjustRightInd w:val="0"/>
        <w:snapToGrid w:val="0"/>
        <w:spacing w:line="360" w:lineRule="auto"/>
        <w:jc w:val="center"/>
        <w:rPr>
          <w:rFonts w:ascii="宋体" w:hAnsi="宋体" w:cs="宋体"/>
          <w:b/>
          <w:color w:val="auto"/>
          <w:kern w:val="0"/>
          <w:sz w:val="52"/>
          <w:szCs w:val="52"/>
          <w:highlight w:val="none"/>
        </w:rPr>
      </w:pPr>
    </w:p>
    <w:p w14:paraId="356F1749">
      <w:pPr>
        <w:autoSpaceDE w:val="0"/>
        <w:autoSpaceDN w:val="0"/>
        <w:adjustRightInd w:val="0"/>
        <w:snapToGrid w:val="0"/>
        <w:spacing w:line="360" w:lineRule="auto"/>
        <w:jc w:val="center"/>
        <w:rPr>
          <w:rFonts w:ascii="宋体" w:hAnsi="宋体" w:cs="宋体"/>
          <w:b/>
          <w:color w:val="auto"/>
          <w:kern w:val="0"/>
          <w:sz w:val="52"/>
          <w:szCs w:val="52"/>
          <w:highlight w:val="none"/>
        </w:rPr>
      </w:pPr>
    </w:p>
    <w:p w14:paraId="69BE5A46">
      <w:pPr>
        <w:autoSpaceDE w:val="0"/>
        <w:autoSpaceDN w:val="0"/>
        <w:adjustRightInd w:val="0"/>
        <w:snapToGrid w:val="0"/>
        <w:spacing w:line="360" w:lineRule="auto"/>
        <w:jc w:val="center"/>
        <w:rPr>
          <w:rFonts w:ascii="宋体" w:hAnsi="宋体" w:cs="宋体"/>
          <w:b/>
          <w:color w:val="auto"/>
          <w:kern w:val="0"/>
          <w:sz w:val="52"/>
          <w:szCs w:val="52"/>
          <w:highlight w:val="none"/>
        </w:rPr>
      </w:pPr>
    </w:p>
    <w:p w14:paraId="27BC6F5E">
      <w:pPr>
        <w:autoSpaceDE w:val="0"/>
        <w:autoSpaceDN w:val="0"/>
        <w:adjustRightInd w:val="0"/>
        <w:snapToGrid w:val="0"/>
        <w:spacing w:line="360" w:lineRule="auto"/>
        <w:jc w:val="center"/>
        <w:rPr>
          <w:rFonts w:ascii="宋体" w:hAnsi="宋体" w:cs="宋体"/>
          <w:b/>
          <w:color w:val="auto"/>
          <w:kern w:val="0"/>
          <w:sz w:val="52"/>
          <w:szCs w:val="52"/>
          <w:highlight w:val="none"/>
        </w:rPr>
        <w:sectPr>
          <w:footerReference r:id="rId4" w:type="default"/>
          <w:pgSz w:w="11906" w:h="16838"/>
          <w:pgMar w:top="794" w:right="1134" w:bottom="794" w:left="1418" w:header="851" w:footer="992" w:gutter="0"/>
          <w:pgNumType w:start="1"/>
          <w:cols w:space="720" w:num="1"/>
          <w:docGrid w:linePitch="312" w:charSpace="0"/>
        </w:sectPr>
      </w:pPr>
    </w:p>
    <w:p w14:paraId="04B8CD5F">
      <w:pPr>
        <w:autoSpaceDE w:val="0"/>
        <w:autoSpaceDN w:val="0"/>
        <w:adjustRightInd w:val="0"/>
        <w:snapToGrid w:val="0"/>
        <w:spacing w:line="360" w:lineRule="auto"/>
        <w:jc w:val="center"/>
        <w:rPr>
          <w:rFonts w:ascii="宋体" w:hAnsi="宋体" w:cs="宋体"/>
          <w:b/>
          <w:color w:val="auto"/>
          <w:kern w:val="0"/>
          <w:sz w:val="44"/>
          <w:szCs w:val="44"/>
          <w:highlight w:val="none"/>
        </w:rPr>
      </w:pPr>
      <w:r>
        <w:rPr>
          <w:rFonts w:hint="eastAsia" w:ascii="宋体" w:hAnsi="宋体" w:cs="宋体"/>
          <w:b/>
          <w:color w:val="auto"/>
          <w:kern w:val="0"/>
          <w:sz w:val="44"/>
          <w:szCs w:val="44"/>
          <w:highlight w:val="none"/>
        </w:rPr>
        <w:t>目录</w:t>
      </w:r>
    </w:p>
    <w:p w14:paraId="44A88840">
      <w:pPr>
        <w:pStyle w:val="32"/>
        <w:tabs>
          <w:tab w:val="right" w:leader="dot" w:pos="9354"/>
          <w:tab w:val="clear" w:pos="1120"/>
          <w:tab w:val="clear" w:pos="8613"/>
        </w:tabs>
      </w:pPr>
      <w:r>
        <w:rPr>
          <w:rFonts w:hint="eastAsia" w:asciiTheme="minorEastAsia" w:hAnsiTheme="minorEastAsia" w:eastAsiaTheme="minorEastAsia" w:cstheme="minorEastAsia"/>
          <w:iCs/>
          <w:color w:val="auto"/>
          <w:sz w:val="24"/>
          <w:szCs w:val="24"/>
          <w:highlight w:val="none"/>
        </w:rPr>
        <w:fldChar w:fldCharType="begin"/>
      </w:r>
      <w:r>
        <w:rPr>
          <w:rFonts w:hint="eastAsia" w:asciiTheme="minorEastAsia" w:hAnsiTheme="minorEastAsia" w:eastAsiaTheme="minorEastAsia" w:cstheme="minorEastAsia"/>
          <w:iCs/>
          <w:color w:val="auto"/>
          <w:sz w:val="24"/>
          <w:szCs w:val="24"/>
          <w:highlight w:val="none"/>
        </w:rPr>
        <w:instrText xml:space="preserve">TOC \o "1-2" \h \u </w:instrText>
      </w:r>
      <w:r>
        <w:rPr>
          <w:rFonts w:hint="eastAsia" w:asciiTheme="minorEastAsia" w:hAnsiTheme="minorEastAsia" w:eastAsiaTheme="minorEastAsia" w:cstheme="minorEastAsia"/>
          <w:iCs/>
          <w:color w:val="auto"/>
          <w:sz w:val="24"/>
          <w:szCs w:val="24"/>
          <w:highlight w:val="none"/>
        </w:rPr>
        <w:fldChar w:fldCharType="separate"/>
      </w:r>
    </w:p>
    <w:p w14:paraId="736DBC34">
      <w:pPr>
        <w:pStyle w:val="32"/>
        <w:tabs>
          <w:tab w:val="right" w:leader="dot" w:pos="9354"/>
          <w:tab w:val="clear" w:pos="1120"/>
          <w:tab w:val="clear" w:pos="8613"/>
        </w:tabs>
      </w:pPr>
      <w:r>
        <w:rPr>
          <w:rFonts w:hint="eastAsia" w:asciiTheme="minorEastAsia" w:hAnsiTheme="minorEastAsia" w:eastAsiaTheme="minorEastAsia" w:cstheme="minorEastAsia"/>
          <w:iCs w:val="0"/>
          <w:color w:val="auto"/>
          <w:highlight w:val="none"/>
        </w:rPr>
        <w:fldChar w:fldCharType="begin"/>
      </w:r>
      <w:r>
        <w:rPr>
          <w:rFonts w:hint="eastAsia" w:asciiTheme="minorEastAsia" w:hAnsiTheme="minorEastAsia" w:eastAsiaTheme="minorEastAsia" w:cstheme="minorEastAsia"/>
          <w:iCs w:val="0"/>
          <w:highlight w:val="none"/>
        </w:rPr>
        <w:instrText xml:space="preserve"> HYPERLINK \l _Toc2493 </w:instrText>
      </w:r>
      <w:r>
        <w:rPr>
          <w:rFonts w:hint="eastAsia" w:asciiTheme="minorEastAsia" w:hAnsiTheme="minorEastAsia" w:eastAsiaTheme="minorEastAsia" w:cstheme="minorEastAsia"/>
          <w:iCs w:val="0"/>
          <w:highlight w:val="none"/>
        </w:rPr>
        <w:fldChar w:fldCharType="separate"/>
      </w:r>
      <w:r>
        <w:rPr>
          <w:rFonts w:hint="eastAsia" w:ascii="宋体" w:hAnsi="宋体" w:cs="宋体"/>
          <w:kern w:val="0"/>
          <w:szCs w:val="44"/>
        </w:rPr>
        <w:t xml:space="preserve">第一章 </w:t>
      </w:r>
      <w:r>
        <w:rPr>
          <w:rFonts w:hint="eastAsia" w:ascii="宋体" w:hAnsi="宋体" w:cs="宋体"/>
          <w:szCs w:val="44"/>
          <w:highlight w:val="none"/>
        </w:rPr>
        <w:t>竞争性</w:t>
      </w:r>
      <w:r>
        <w:rPr>
          <w:rFonts w:hint="eastAsia" w:ascii="宋体" w:hAnsi="宋体" w:cs="宋体"/>
          <w:kern w:val="0"/>
          <w:szCs w:val="44"/>
          <w:highlight w:val="none"/>
        </w:rPr>
        <w:t>比选公告</w:t>
      </w:r>
      <w:r>
        <w:tab/>
      </w:r>
      <w:r>
        <w:fldChar w:fldCharType="begin"/>
      </w:r>
      <w:r>
        <w:instrText xml:space="preserve"> PAGEREF _Toc2493 \h </w:instrText>
      </w:r>
      <w:r>
        <w:fldChar w:fldCharType="separate"/>
      </w:r>
      <w:r>
        <w:t>1</w:t>
      </w:r>
      <w:r>
        <w:fldChar w:fldCharType="end"/>
      </w:r>
      <w:r>
        <w:rPr>
          <w:rFonts w:hint="eastAsia" w:asciiTheme="minorEastAsia" w:hAnsiTheme="minorEastAsia" w:eastAsiaTheme="minorEastAsia" w:cstheme="minorEastAsia"/>
          <w:iCs w:val="0"/>
          <w:color w:val="auto"/>
          <w:highlight w:val="none"/>
        </w:rPr>
        <w:fldChar w:fldCharType="end"/>
      </w:r>
    </w:p>
    <w:p w14:paraId="385FB707">
      <w:pPr>
        <w:pStyle w:val="38"/>
        <w:tabs>
          <w:tab w:val="right" w:leader="dot" w:pos="9354"/>
          <w:tab w:val="clear" w:pos="8609"/>
        </w:tabs>
      </w:pPr>
      <w:r>
        <w:rPr>
          <w:rFonts w:hint="eastAsia" w:asciiTheme="minorEastAsia" w:hAnsiTheme="minorEastAsia" w:eastAsiaTheme="minorEastAsia" w:cstheme="minorEastAsia"/>
          <w:iCs w:val="0"/>
          <w:color w:val="auto"/>
          <w:highlight w:val="none"/>
        </w:rPr>
        <w:fldChar w:fldCharType="begin"/>
      </w:r>
      <w:r>
        <w:rPr>
          <w:rFonts w:hint="eastAsia" w:asciiTheme="minorEastAsia" w:hAnsiTheme="minorEastAsia" w:eastAsiaTheme="minorEastAsia" w:cstheme="minorEastAsia"/>
          <w:iCs w:val="0"/>
          <w:highlight w:val="none"/>
        </w:rPr>
        <w:instrText xml:space="preserve"> HYPERLINK \l _Toc2670 </w:instrText>
      </w:r>
      <w:r>
        <w:rPr>
          <w:rFonts w:hint="eastAsia" w:asciiTheme="minorEastAsia" w:hAnsiTheme="minorEastAsia" w:eastAsiaTheme="minorEastAsia" w:cstheme="minorEastAsia"/>
          <w:iCs w:val="0"/>
          <w:highlight w:val="none"/>
        </w:rPr>
        <w:fldChar w:fldCharType="separate"/>
      </w:r>
      <w:r>
        <w:rPr>
          <w:rFonts w:hint="eastAsia" w:ascii="宋体" w:hAnsi="宋体" w:cs="宋体"/>
          <w:kern w:val="0"/>
          <w:szCs w:val="28"/>
          <w:highlight w:val="none"/>
        </w:rPr>
        <w:t>1. 比选条件</w:t>
      </w:r>
      <w:r>
        <w:tab/>
      </w:r>
      <w:r>
        <w:fldChar w:fldCharType="begin"/>
      </w:r>
      <w:r>
        <w:instrText xml:space="preserve"> PAGEREF _Toc2670 \h </w:instrText>
      </w:r>
      <w:r>
        <w:fldChar w:fldCharType="separate"/>
      </w:r>
      <w:r>
        <w:t>1</w:t>
      </w:r>
      <w:r>
        <w:fldChar w:fldCharType="end"/>
      </w:r>
      <w:r>
        <w:rPr>
          <w:rFonts w:hint="eastAsia" w:asciiTheme="minorEastAsia" w:hAnsiTheme="minorEastAsia" w:eastAsiaTheme="minorEastAsia" w:cstheme="minorEastAsia"/>
          <w:iCs w:val="0"/>
          <w:color w:val="auto"/>
          <w:highlight w:val="none"/>
        </w:rPr>
        <w:fldChar w:fldCharType="end"/>
      </w:r>
    </w:p>
    <w:p w14:paraId="7D0B718E">
      <w:pPr>
        <w:pStyle w:val="38"/>
        <w:tabs>
          <w:tab w:val="right" w:leader="dot" w:pos="9354"/>
          <w:tab w:val="clear" w:pos="8609"/>
        </w:tabs>
      </w:pPr>
      <w:r>
        <w:rPr>
          <w:rFonts w:hint="eastAsia" w:asciiTheme="minorEastAsia" w:hAnsiTheme="minorEastAsia" w:eastAsiaTheme="minorEastAsia" w:cstheme="minorEastAsia"/>
          <w:iCs w:val="0"/>
          <w:color w:val="auto"/>
          <w:highlight w:val="none"/>
        </w:rPr>
        <w:fldChar w:fldCharType="begin"/>
      </w:r>
      <w:r>
        <w:rPr>
          <w:rFonts w:hint="eastAsia" w:asciiTheme="minorEastAsia" w:hAnsiTheme="minorEastAsia" w:eastAsiaTheme="minorEastAsia" w:cstheme="minorEastAsia"/>
          <w:iCs w:val="0"/>
          <w:highlight w:val="none"/>
        </w:rPr>
        <w:instrText xml:space="preserve"> HYPERLINK \l _Toc3342 </w:instrText>
      </w:r>
      <w:r>
        <w:rPr>
          <w:rFonts w:hint="eastAsia" w:asciiTheme="minorEastAsia" w:hAnsiTheme="minorEastAsia" w:eastAsiaTheme="minorEastAsia" w:cstheme="minorEastAsia"/>
          <w:iCs w:val="0"/>
          <w:highlight w:val="none"/>
        </w:rPr>
        <w:fldChar w:fldCharType="separate"/>
      </w:r>
      <w:r>
        <w:rPr>
          <w:rFonts w:hint="eastAsia" w:ascii="宋体" w:hAnsi="宋体" w:cs="宋体"/>
          <w:kern w:val="0"/>
          <w:szCs w:val="28"/>
          <w:highlight w:val="none"/>
        </w:rPr>
        <w:t>2. 项目概况与比选范围</w:t>
      </w:r>
      <w:r>
        <w:tab/>
      </w:r>
      <w:r>
        <w:fldChar w:fldCharType="begin"/>
      </w:r>
      <w:r>
        <w:instrText xml:space="preserve"> PAGEREF _Toc3342 \h </w:instrText>
      </w:r>
      <w:r>
        <w:fldChar w:fldCharType="separate"/>
      </w:r>
      <w:r>
        <w:t>1</w:t>
      </w:r>
      <w:r>
        <w:fldChar w:fldCharType="end"/>
      </w:r>
      <w:r>
        <w:rPr>
          <w:rFonts w:hint="eastAsia" w:asciiTheme="minorEastAsia" w:hAnsiTheme="minorEastAsia" w:eastAsiaTheme="minorEastAsia" w:cstheme="minorEastAsia"/>
          <w:iCs w:val="0"/>
          <w:color w:val="auto"/>
          <w:highlight w:val="none"/>
        </w:rPr>
        <w:fldChar w:fldCharType="end"/>
      </w:r>
    </w:p>
    <w:p w14:paraId="183E585A">
      <w:pPr>
        <w:pStyle w:val="38"/>
        <w:tabs>
          <w:tab w:val="right" w:leader="dot" w:pos="9354"/>
          <w:tab w:val="clear" w:pos="8609"/>
        </w:tabs>
      </w:pPr>
      <w:r>
        <w:rPr>
          <w:rFonts w:hint="eastAsia" w:asciiTheme="minorEastAsia" w:hAnsiTheme="minorEastAsia" w:eastAsiaTheme="minorEastAsia" w:cstheme="minorEastAsia"/>
          <w:iCs w:val="0"/>
          <w:color w:val="auto"/>
          <w:highlight w:val="none"/>
        </w:rPr>
        <w:fldChar w:fldCharType="begin"/>
      </w:r>
      <w:r>
        <w:rPr>
          <w:rFonts w:hint="eastAsia" w:asciiTheme="minorEastAsia" w:hAnsiTheme="minorEastAsia" w:eastAsiaTheme="minorEastAsia" w:cstheme="minorEastAsia"/>
          <w:iCs w:val="0"/>
          <w:highlight w:val="none"/>
        </w:rPr>
        <w:instrText xml:space="preserve"> HYPERLINK \l _Toc15764 </w:instrText>
      </w:r>
      <w:r>
        <w:rPr>
          <w:rFonts w:hint="eastAsia" w:asciiTheme="minorEastAsia" w:hAnsiTheme="minorEastAsia" w:eastAsiaTheme="minorEastAsia" w:cstheme="minorEastAsia"/>
          <w:iCs w:val="0"/>
          <w:highlight w:val="none"/>
        </w:rPr>
        <w:fldChar w:fldCharType="separate"/>
      </w:r>
      <w:r>
        <w:rPr>
          <w:rFonts w:hint="eastAsia" w:ascii="宋体" w:hAnsi="宋体" w:cs="宋体"/>
          <w:kern w:val="0"/>
          <w:szCs w:val="28"/>
          <w:highlight w:val="none"/>
        </w:rPr>
        <w:t>3. 竞选人资格要求</w:t>
      </w:r>
      <w:r>
        <w:tab/>
      </w:r>
      <w:r>
        <w:fldChar w:fldCharType="begin"/>
      </w:r>
      <w:r>
        <w:instrText xml:space="preserve"> PAGEREF _Toc15764 \h </w:instrText>
      </w:r>
      <w:r>
        <w:fldChar w:fldCharType="separate"/>
      </w:r>
      <w:r>
        <w:t>1</w:t>
      </w:r>
      <w:r>
        <w:fldChar w:fldCharType="end"/>
      </w:r>
      <w:r>
        <w:rPr>
          <w:rFonts w:hint="eastAsia" w:asciiTheme="minorEastAsia" w:hAnsiTheme="minorEastAsia" w:eastAsiaTheme="minorEastAsia" w:cstheme="minorEastAsia"/>
          <w:iCs w:val="0"/>
          <w:color w:val="auto"/>
          <w:highlight w:val="none"/>
        </w:rPr>
        <w:fldChar w:fldCharType="end"/>
      </w:r>
    </w:p>
    <w:p w14:paraId="56E422FF">
      <w:pPr>
        <w:pStyle w:val="38"/>
        <w:tabs>
          <w:tab w:val="right" w:leader="dot" w:pos="9354"/>
          <w:tab w:val="clear" w:pos="8609"/>
        </w:tabs>
      </w:pPr>
      <w:r>
        <w:rPr>
          <w:rFonts w:hint="eastAsia" w:asciiTheme="minorEastAsia" w:hAnsiTheme="minorEastAsia" w:eastAsiaTheme="minorEastAsia" w:cstheme="minorEastAsia"/>
          <w:iCs w:val="0"/>
          <w:color w:val="auto"/>
          <w:highlight w:val="none"/>
        </w:rPr>
        <w:fldChar w:fldCharType="begin"/>
      </w:r>
      <w:r>
        <w:rPr>
          <w:rFonts w:hint="eastAsia" w:asciiTheme="minorEastAsia" w:hAnsiTheme="minorEastAsia" w:eastAsiaTheme="minorEastAsia" w:cstheme="minorEastAsia"/>
          <w:iCs w:val="0"/>
          <w:highlight w:val="none"/>
        </w:rPr>
        <w:instrText xml:space="preserve"> HYPERLINK \l _Toc16895 </w:instrText>
      </w:r>
      <w:r>
        <w:rPr>
          <w:rFonts w:hint="eastAsia" w:asciiTheme="minorEastAsia" w:hAnsiTheme="minorEastAsia" w:eastAsiaTheme="minorEastAsia" w:cstheme="minorEastAsia"/>
          <w:iCs w:val="0"/>
          <w:highlight w:val="none"/>
        </w:rPr>
        <w:fldChar w:fldCharType="separate"/>
      </w:r>
      <w:r>
        <w:rPr>
          <w:rFonts w:hint="eastAsia" w:ascii="宋体" w:hAnsi="宋体" w:cs="宋体"/>
          <w:kern w:val="0"/>
          <w:szCs w:val="28"/>
          <w:highlight w:val="none"/>
        </w:rPr>
        <w:t>4. 比选文件的获取</w:t>
      </w:r>
      <w:r>
        <w:tab/>
      </w:r>
      <w:r>
        <w:fldChar w:fldCharType="begin"/>
      </w:r>
      <w:r>
        <w:instrText xml:space="preserve"> PAGEREF _Toc16895 \h </w:instrText>
      </w:r>
      <w:r>
        <w:fldChar w:fldCharType="separate"/>
      </w:r>
      <w:r>
        <w:t>1</w:t>
      </w:r>
      <w:r>
        <w:fldChar w:fldCharType="end"/>
      </w:r>
      <w:r>
        <w:rPr>
          <w:rFonts w:hint="eastAsia" w:asciiTheme="minorEastAsia" w:hAnsiTheme="minorEastAsia" w:eastAsiaTheme="minorEastAsia" w:cstheme="minorEastAsia"/>
          <w:iCs w:val="0"/>
          <w:color w:val="auto"/>
          <w:highlight w:val="none"/>
        </w:rPr>
        <w:fldChar w:fldCharType="end"/>
      </w:r>
    </w:p>
    <w:p w14:paraId="42813CAA">
      <w:pPr>
        <w:pStyle w:val="38"/>
        <w:tabs>
          <w:tab w:val="right" w:leader="dot" w:pos="9354"/>
          <w:tab w:val="clear" w:pos="8609"/>
        </w:tabs>
      </w:pPr>
      <w:r>
        <w:rPr>
          <w:rFonts w:hint="eastAsia" w:asciiTheme="minorEastAsia" w:hAnsiTheme="minorEastAsia" w:eastAsiaTheme="minorEastAsia" w:cstheme="minorEastAsia"/>
          <w:iCs w:val="0"/>
          <w:color w:val="auto"/>
          <w:highlight w:val="none"/>
        </w:rPr>
        <w:fldChar w:fldCharType="begin"/>
      </w:r>
      <w:r>
        <w:rPr>
          <w:rFonts w:hint="eastAsia" w:asciiTheme="minorEastAsia" w:hAnsiTheme="minorEastAsia" w:eastAsiaTheme="minorEastAsia" w:cstheme="minorEastAsia"/>
          <w:iCs w:val="0"/>
          <w:highlight w:val="none"/>
        </w:rPr>
        <w:instrText xml:space="preserve"> HYPERLINK \l _Toc30005 </w:instrText>
      </w:r>
      <w:r>
        <w:rPr>
          <w:rFonts w:hint="eastAsia" w:asciiTheme="minorEastAsia" w:hAnsiTheme="minorEastAsia" w:eastAsiaTheme="minorEastAsia" w:cstheme="minorEastAsia"/>
          <w:iCs w:val="0"/>
          <w:highlight w:val="none"/>
        </w:rPr>
        <w:fldChar w:fldCharType="separate"/>
      </w:r>
      <w:r>
        <w:rPr>
          <w:rFonts w:hint="eastAsia" w:ascii="宋体" w:hAnsi="宋体" w:cs="宋体"/>
          <w:szCs w:val="28"/>
          <w:highlight w:val="none"/>
        </w:rPr>
        <w:t>5．竞选文件的递交</w:t>
      </w:r>
      <w:r>
        <w:tab/>
      </w:r>
      <w:r>
        <w:fldChar w:fldCharType="begin"/>
      </w:r>
      <w:r>
        <w:instrText xml:space="preserve"> PAGEREF _Toc30005 \h </w:instrText>
      </w:r>
      <w:r>
        <w:fldChar w:fldCharType="separate"/>
      </w:r>
      <w:r>
        <w:t>2</w:t>
      </w:r>
      <w:r>
        <w:fldChar w:fldCharType="end"/>
      </w:r>
      <w:r>
        <w:rPr>
          <w:rFonts w:hint="eastAsia" w:asciiTheme="minorEastAsia" w:hAnsiTheme="minorEastAsia" w:eastAsiaTheme="minorEastAsia" w:cstheme="minorEastAsia"/>
          <w:iCs w:val="0"/>
          <w:color w:val="auto"/>
          <w:highlight w:val="none"/>
        </w:rPr>
        <w:fldChar w:fldCharType="end"/>
      </w:r>
    </w:p>
    <w:p w14:paraId="0A071816">
      <w:pPr>
        <w:pStyle w:val="38"/>
        <w:tabs>
          <w:tab w:val="right" w:leader="dot" w:pos="9354"/>
          <w:tab w:val="clear" w:pos="8609"/>
        </w:tabs>
      </w:pPr>
      <w:r>
        <w:rPr>
          <w:rFonts w:hint="eastAsia" w:asciiTheme="minorEastAsia" w:hAnsiTheme="minorEastAsia" w:eastAsiaTheme="minorEastAsia" w:cstheme="minorEastAsia"/>
          <w:iCs w:val="0"/>
          <w:color w:val="auto"/>
          <w:highlight w:val="none"/>
        </w:rPr>
        <w:fldChar w:fldCharType="begin"/>
      </w:r>
      <w:r>
        <w:rPr>
          <w:rFonts w:hint="eastAsia" w:asciiTheme="minorEastAsia" w:hAnsiTheme="minorEastAsia" w:eastAsiaTheme="minorEastAsia" w:cstheme="minorEastAsia"/>
          <w:iCs w:val="0"/>
          <w:highlight w:val="none"/>
        </w:rPr>
        <w:instrText xml:space="preserve"> HYPERLINK \l _Toc4840 </w:instrText>
      </w:r>
      <w:r>
        <w:rPr>
          <w:rFonts w:hint="eastAsia" w:asciiTheme="minorEastAsia" w:hAnsiTheme="minorEastAsia" w:eastAsiaTheme="minorEastAsia" w:cstheme="minorEastAsia"/>
          <w:iCs w:val="0"/>
          <w:highlight w:val="none"/>
        </w:rPr>
        <w:fldChar w:fldCharType="separate"/>
      </w:r>
      <w:r>
        <w:rPr>
          <w:rFonts w:hint="eastAsia" w:ascii="宋体" w:hAnsi="宋体" w:cs="宋体"/>
          <w:szCs w:val="28"/>
          <w:highlight w:val="none"/>
        </w:rPr>
        <w:t>6．联系方式</w:t>
      </w:r>
      <w:r>
        <w:tab/>
      </w:r>
      <w:r>
        <w:fldChar w:fldCharType="begin"/>
      </w:r>
      <w:r>
        <w:instrText xml:space="preserve"> PAGEREF _Toc4840 \h </w:instrText>
      </w:r>
      <w:r>
        <w:fldChar w:fldCharType="separate"/>
      </w:r>
      <w:r>
        <w:t>2</w:t>
      </w:r>
      <w:r>
        <w:fldChar w:fldCharType="end"/>
      </w:r>
      <w:r>
        <w:rPr>
          <w:rFonts w:hint="eastAsia" w:asciiTheme="minorEastAsia" w:hAnsiTheme="minorEastAsia" w:eastAsiaTheme="minorEastAsia" w:cstheme="minorEastAsia"/>
          <w:iCs w:val="0"/>
          <w:color w:val="auto"/>
          <w:highlight w:val="none"/>
        </w:rPr>
        <w:fldChar w:fldCharType="end"/>
      </w:r>
    </w:p>
    <w:p w14:paraId="7119DE71">
      <w:pPr>
        <w:pStyle w:val="32"/>
        <w:tabs>
          <w:tab w:val="right" w:leader="dot" w:pos="9354"/>
          <w:tab w:val="clear" w:pos="1120"/>
          <w:tab w:val="clear" w:pos="8613"/>
        </w:tabs>
      </w:pPr>
      <w:r>
        <w:rPr>
          <w:rFonts w:hint="eastAsia" w:asciiTheme="minorEastAsia" w:hAnsiTheme="minorEastAsia" w:eastAsiaTheme="minorEastAsia" w:cstheme="minorEastAsia"/>
          <w:iCs w:val="0"/>
          <w:color w:val="auto"/>
          <w:highlight w:val="none"/>
        </w:rPr>
        <w:fldChar w:fldCharType="begin"/>
      </w:r>
      <w:r>
        <w:rPr>
          <w:rFonts w:hint="eastAsia" w:asciiTheme="minorEastAsia" w:hAnsiTheme="minorEastAsia" w:eastAsiaTheme="minorEastAsia" w:cstheme="minorEastAsia"/>
          <w:iCs w:val="0"/>
          <w:highlight w:val="none"/>
        </w:rPr>
        <w:instrText xml:space="preserve"> HYPERLINK \l _Toc4892 </w:instrText>
      </w:r>
      <w:r>
        <w:rPr>
          <w:rFonts w:hint="eastAsia" w:asciiTheme="minorEastAsia" w:hAnsiTheme="minorEastAsia" w:eastAsiaTheme="minorEastAsia" w:cstheme="minorEastAsia"/>
          <w:iCs w:val="0"/>
          <w:highlight w:val="none"/>
        </w:rPr>
        <w:fldChar w:fldCharType="separate"/>
      </w:r>
      <w:r>
        <w:rPr>
          <w:rFonts w:hint="eastAsia" w:ascii="宋体" w:hAnsi="宋体" w:cs="宋体"/>
          <w:szCs w:val="44"/>
          <w:highlight w:val="none"/>
        </w:rPr>
        <w:t xml:space="preserve">第二章  </w:t>
      </w:r>
      <w:r>
        <w:rPr>
          <w:rFonts w:hint="eastAsia" w:ascii="宋体" w:hAnsi="宋体" w:cs="宋体"/>
          <w:kern w:val="0"/>
          <w:szCs w:val="44"/>
          <w:highlight w:val="none"/>
        </w:rPr>
        <w:t>竞选人</w:t>
      </w:r>
      <w:r>
        <w:rPr>
          <w:rFonts w:hint="eastAsia" w:ascii="宋体" w:hAnsi="宋体" w:cs="宋体"/>
          <w:szCs w:val="44"/>
          <w:highlight w:val="none"/>
        </w:rPr>
        <w:t>须知</w:t>
      </w:r>
      <w:r>
        <w:tab/>
      </w:r>
      <w:r>
        <w:fldChar w:fldCharType="begin"/>
      </w:r>
      <w:r>
        <w:instrText xml:space="preserve"> PAGEREF _Toc4892 \h </w:instrText>
      </w:r>
      <w:r>
        <w:fldChar w:fldCharType="separate"/>
      </w:r>
      <w:r>
        <w:t>3</w:t>
      </w:r>
      <w:r>
        <w:fldChar w:fldCharType="end"/>
      </w:r>
      <w:r>
        <w:rPr>
          <w:rFonts w:hint="eastAsia" w:asciiTheme="minorEastAsia" w:hAnsiTheme="minorEastAsia" w:eastAsiaTheme="minorEastAsia" w:cstheme="minorEastAsia"/>
          <w:iCs w:val="0"/>
          <w:color w:val="auto"/>
          <w:highlight w:val="none"/>
        </w:rPr>
        <w:fldChar w:fldCharType="end"/>
      </w:r>
    </w:p>
    <w:p w14:paraId="7075EF28">
      <w:pPr>
        <w:pStyle w:val="38"/>
        <w:tabs>
          <w:tab w:val="right" w:leader="dot" w:pos="9354"/>
          <w:tab w:val="clear" w:pos="8609"/>
        </w:tabs>
      </w:pPr>
      <w:r>
        <w:rPr>
          <w:rFonts w:hint="eastAsia" w:asciiTheme="minorEastAsia" w:hAnsiTheme="minorEastAsia" w:eastAsiaTheme="minorEastAsia" w:cstheme="minorEastAsia"/>
          <w:iCs w:val="0"/>
          <w:color w:val="auto"/>
          <w:highlight w:val="none"/>
        </w:rPr>
        <w:fldChar w:fldCharType="begin"/>
      </w:r>
      <w:r>
        <w:rPr>
          <w:rFonts w:hint="eastAsia" w:asciiTheme="minorEastAsia" w:hAnsiTheme="minorEastAsia" w:eastAsiaTheme="minorEastAsia" w:cstheme="minorEastAsia"/>
          <w:iCs w:val="0"/>
          <w:highlight w:val="none"/>
        </w:rPr>
        <w:instrText xml:space="preserve"> HYPERLINK \l _Toc4230 </w:instrText>
      </w:r>
      <w:r>
        <w:rPr>
          <w:rFonts w:hint="eastAsia" w:asciiTheme="minorEastAsia" w:hAnsiTheme="minorEastAsia" w:eastAsiaTheme="minorEastAsia" w:cstheme="minorEastAsia"/>
          <w:iCs w:val="0"/>
          <w:highlight w:val="none"/>
        </w:rPr>
        <w:fldChar w:fldCharType="separate"/>
      </w:r>
      <w:r>
        <w:rPr>
          <w:rFonts w:hint="eastAsia" w:ascii="宋体" w:hAnsi="宋体" w:eastAsia="宋体" w:cs="宋体"/>
          <w:spacing w:val="0"/>
          <w:szCs w:val="28"/>
          <w:highlight w:val="none"/>
        </w:rPr>
        <w:t>竞选人须知前附表</w:t>
      </w:r>
      <w:r>
        <w:tab/>
      </w:r>
      <w:r>
        <w:fldChar w:fldCharType="begin"/>
      </w:r>
      <w:r>
        <w:instrText xml:space="preserve"> PAGEREF _Toc4230 \h </w:instrText>
      </w:r>
      <w:r>
        <w:fldChar w:fldCharType="separate"/>
      </w:r>
      <w:r>
        <w:t>3</w:t>
      </w:r>
      <w:r>
        <w:fldChar w:fldCharType="end"/>
      </w:r>
      <w:r>
        <w:rPr>
          <w:rFonts w:hint="eastAsia" w:asciiTheme="minorEastAsia" w:hAnsiTheme="minorEastAsia" w:eastAsiaTheme="minorEastAsia" w:cstheme="minorEastAsia"/>
          <w:iCs w:val="0"/>
          <w:color w:val="auto"/>
          <w:highlight w:val="none"/>
        </w:rPr>
        <w:fldChar w:fldCharType="end"/>
      </w:r>
    </w:p>
    <w:p w14:paraId="11D2A180">
      <w:pPr>
        <w:pStyle w:val="38"/>
        <w:tabs>
          <w:tab w:val="right" w:leader="dot" w:pos="9354"/>
          <w:tab w:val="clear" w:pos="8609"/>
        </w:tabs>
      </w:pPr>
      <w:r>
        <w:rPr>
          <w:rFonts w:hint="eastAsia" w:asciiTheme="minorEastAsia" w:hAnsiTheme="minorEastAsia" w:eastAsiaTheme="minorEastAsia" w:cstheme="minorEastAsia"/>
          <w:iCs w:val="0"/>
          <w:color w:val="auto"/>
          <w:highlight w:val="none"/>
        </w:rPr>
        <w:fldChar w:fldCharType="begin"/>
      </w:r>
      <w:r>
        <w:rPr>
          <w:rFonts w:hint="eastAsia" w:asciiTheme="minorEastAsia" w:hAnsiTheme="minorEastAsia" w:eastAsiaTheme="minorEastAsia" w:cstheme="minorEastAsia"/>
          <w:iCs w:val="0"/>
          <w:highlight w:val="none"/>
        </w:rPr>
        <w:instrText xml:space="preserve"> HYPERLINK \l _Toc3874 </w:instrText>
      </w:r>
      <w:r>
        <w:rPr>
          <w:rFonts w:hint="eastAsia" w:asciiTheme="minorEastAsia" w:hAnsiTheme="minorEastAsia" w:eastAsiaTheme="minorEastAsia" w:cstheme="minorEastAsia"/>
          <w:iCs w:val="0"/>
          <w:highlight w:val="none"/>
        </w:rPr>
        <w:fldChar w:fldCharType="separate"/>
      </w:r>
      <w:r>
        <w:rPr>
          <w:rFonts w:hint="eastAsia" w:ascii="宋体" w:hAnsi="宋体" w:eastAsia="宋体" w:cs="宋体"/>
          <w:snapToGrid w:val="0"/>
          <w:spacing w:val="0"/>
          <w:highlight w:val="none"/>
        </w:rPr>
        <w:t>1.  总则</w:t>
      </w:r>
      <w:r>
        <w:tab/>
      </w:r>
      <w:r>
        <w:fldChar w:fldCharType="begin"/>
      </w:r>
      <w:r>
        <w:instrText xml:space="preserve"> PAGEREF _Toc3874 \h </w:instrText>
      </w:r>
      <w:r>
        <w:fldChar w:fldCharType="separate"/>
      </w:r>
      <w:r>
        <w:t>14</w:t>
      </w:r>
      <w:r>
        <w:fldChar w:fldCharType="end"/>
      </w:r>
      <w:r>
        <w:rPr>
          <w:rFonts w:hint="eastAsia" w:asciiTheme="minorEastAsia" w:hAnsiTheme="minorEastAsia" w:eastAsiaTheme="minorEastAsia" w:cstheme="minorEastAsia"/>
          <w:iCs w:val="0"/>
          <w:color w:val="auto"/>
          <w:highlight w:val="none"/>
        </w:rPr>
        <w:fldChar w:fldCharType="end"/>
      </w:r>
    </w:p>
    <w:p w14:paraId="746549B6">
      <w:pPr>
        <w:pStyle w:val="38"/>
        <w:tabs>
          <w:tab w:val="right" w:leader="dot" w:pos="9354"/>
          <w:tab w:val="clear" w:pos="8609"/>
        </w:tabs>
      </w:pPr>
      <w:r>
        <w:rPr>
          <w:rFonts w:hint="eastAsia" w:asciiTheme="minorEastAsia" w:hAnsiTheme="minorEastAsia" w:eastAsiaTheme="minorEastAsia" w:cstheme="minorEastAsia"/>
          <w:iCs w:val="0"/>
          <w:color w:val="auto"/>
          <w:highlight w:val="none"/>
        </w:rPr>
        <w:fldChar w:fldCharType="begin"/>
      </w:r>
      <w:r>
        <w:rPr>
          <w:rFonts w:hint="eastAsia" w:asciiTheme="minorEastAsia" w:hAnsiTheme="minorEastAsia" w:eastAsiaTheme="minorEastAsia" w:cstheme="minorEastAsia"/>
          <w:iCs w:val="0"/>
          <w:highlight w:val="none"/>
        </w:rPr>
        <w:instrText xml:space="preserve"> HYPERLINK \l _Toc7154 </w:instrText>
      </w:r>
      <w:r>
        <w:rPr>
          <w:rFonts w:hint="eastAsia" w:asciiTheme="minorEastAsia" w:hAnsiTheme="minorEastAsia" w:eastAsiaTheme="minorEastAsia" w:cstheme="minorEastAsia"/>
          <w:iCs w:val="0"/>
          <w:highlight w:val="none"/>
        </w:rPr>
        <w:fldChar w:fldCharType="separate"/>
      </w:r>
      <w:r>
        <w:rPr>
          <w:rFonts w:hint="eastAsia" w:ascii="宋体" w:hAnsi="宋体" w:eastAsia="宋体" w:cs="宋体"/>
          <w:snapToGrid w:val="0"/>
          <w:spacing w:val="0"/>
          <w:highlight w:val="none"/>
        </w:rPr>
        <w:t>2.  比选文件</w:t>
      </w:r>
      <w:r>
        <w:tab/>
      </w:r>
      <w:r>
        <w:fldChar w:fldCharType="begin"/>
      </w:r>
      <w:r>
        <w:instrText xml:space="preserve"> PAGEREF _Toc7154 \h </w:instrText>
      </w:r>
      <w:r>
        <w:fldChar w:fldCharType="separate"/>
      </w:r>
      <w:r>
        <w:t>15</w:t>
      </w:r>
      <w:r>
        <w:fldChar w:fldCharType="end"/>
      </w:r>
      <w:r>
        <w:rPr>
          <w:rFonts w:hint="eastAsia" w:asciiTheme="minorEastAsia" w:hAnsiTheme="minorEastAsia" w:eastAsiaTheme="minorEastAsia" w:cstheme="minorEastAsia"/>
          <w:iCs w:val="0"/>
          <w:color w:val="auto"/>
          <w:highlight w:val="none"/>
        </w:rPr>
        <w:fldChar w:fldCharType="end"/>
      </w:r>
    </w:p>
    <w:p w14:paraId="133F0432">
      <w:pPr>
        <w:pStyle w:val="38"/>
        <w:tabs>
          <w:tab w:val="right" w:leader="dot" w:pos="9354"/>
          <w:tab w:val="clear" w:pos="8609"/>
        </w:tabs>
      </w:pPr>
      <w:r>
        <w:rPr>
          <w:rFonts w:hint="eastAsia" w:asciiTheme="minorEastAsia" w:hAnsiTheme="minorEastAsia" w:eastAsiaTheme="minorEastAsia" w:cstheme="minorEastAsia"/>
          <w:iCs w:val="0"/>
          <w:color w:val="auto"/>
          <w:highlight w:val="none"/>
        </w:rPr>
        <w:fldChar w:fldCharType="begin"/>
      </w:r>
      <w:r>
        <w:rPr>
          <w:rFonts w:hint="eastAsia" w:asciiTheme="minorEastAsia" w:hAnsiTheme="minorEastAsia" w:eastAsiaTheme="minorEastAsia" w:cstheme="minorEastAsia"/>
          <w:iCs w:val="0"/>
          <w:highlight w:val="none"/>
        </w:rPr>
        <w:instrText xml:space="preserve"> HYPERLINK \l _Toc21512 </w:instrText>
      </w:r>
      <w:r>
        <w:rPr>
          <w:rFonts w:hint="eastAsia" w:asciiTheme="minorEastAsia" w:hAnsiTheme="minorEastAsia" w:eastAsiaTheme="minorEastAsia" w:cstheme="minorEastAsia"/>
          <w:iCs w:val="0"/>
          <w:highlight w:val="none"/>
        </w:rPr>
        <w:fldChar w:fldCharType="separate"/>
      </w:r>
      <w:r>
        <w:rPr>
          <w:rFonts w:hint="eastAsia" w:ascii="宋体" w:hAnsi="宋体" w:eastAsia="宋体" w:cs="宋体"/>
          <w:snapToGrid w:val="0"/>
          <w:spacing w:val="0"/>
          <w:highlight w:val="none"/>
        </w:rPr>
        <w:t>3.  竞选文件</w:t>
      </w:r>
      <w:r>
        <w:tab/>
      </w:r>
      <w:r>
        <w:fldChar w:fldCharType="begin"/>
      </w:r>
      <w:r>
        <w:instrText xml:space="preserve"> PAGEREF _Toc21512 \h </w:instrText>
      </w:r>
      <w:r>
        <w:fldChar w:fldCharType="separate"/>
      </w:r>
      <w:r>
        <w:t>16</w:t>
      </w:r>
      <w:r>
        <w:fldChar w:fldCharType="end"/>
      </w:r>
      <w:r>
        <w:rPr>
          <w:rFonts w:hint="eastAsia" w:asciiTheme="minorEastAsia" w:hAnsiTheme="minorEastAsia" w:eastAsiaTheme="minorEastAsia" w:cstheme="minorEastAsia"/>
          <w:iCs w:val="0"/>
          <w:color w:val="auto"/>
          <w:highlight w:val="none"/>
        </w:rPr>
        <w:fldChar w:fldCharType="end"/>
      </w:r>
    </w:p>
    <w:p w14:paraId="51D5A6F3">
      <w:pPr>
        <w:pStyle w:val="38"/>
        <w:tabs>
          <w:tab w:val="right" w:leader="dot" w:pos="9354"/>
          <w:tab w:val="clear" w:pos="8609"/>
        </w:tabs>
      </w:pPr>
      <w:r>
        <w:rPr>
          <w:rFonts w:hint="eastAsia" w:asciiTheme="minorEastAsia" w:hAnsiTheme="minorEastAsia" w:eastAsiaTheme="minorEastAsia" w:cstheme="minorEastAsia"/>
          <w:iCs w:val="0"/>
          <w:color w:val="auto"/>
          <w:highlight w:val="none"/>
        </w:rPr>
        <w:fldChar w:fldCharType="begin"/>
      </w:r>
      <w:r>
        <w:rPr>
          <w:rFonts w:hint="eastAsia" w:asciiTheme="minorEastAsia" w:hAnsiTheme="minorEastAsia" w:eastAsiaTheme="minorEastAsia" w:cstheme="minorEastAsia"/>
          <w:iCs w:val="0"/>
          <w:highlight w:val="none"/>
        </w:rPr>
        <w:instrText xml:space="preserve"> HYPERLINK \l _Toc26342 </w:instrText>
      </w:r>
      <w:r>
        <w:rPr>
          <w:rFonts w:hint="eastAsia" w:asciiTheme="minorEastAsia" w:hAnsiTheme="minorEastAsia" w:eastAsiaTheme="minorEastAsia" w:cstheme="minorEastAsia"/>
          <w:iCs w:val="0"/>
          <w:highlight w:val="none"/>
        </w:rPr>
        <w:fldChar w:fldCharType="separate"/>
      </w:r>
      <w:r>
        <w:rPr>
          <w:rFonts w:hint="eastAsia" w:ascii="宋体" w:hAnsi="宋体" w:eastAsia="宋体" w:cs="宋体"/>
          <w:snapToGrid w:val="0"/>
          <w:spacing w:val="0"/>
          <w:highlight w:val="none"/>
        </w:rPr>
        <w:t>4. 投标</w:t>
      </w:r>
      <w:r>
        <w:tab/>
      </w:r>
      <w:r>
        <w:fldChar w:fldCharType="begin"/>
      </w:r>
      <w:r>
        <w:instrText xml:space="preserve"> PAGEREF _Toc26342 \h </w:instrText>
      </w:r>
      <w:r>
        <w:fldChar w:fldCharType="separate"/>
      </w:r>
      <w:r>
        <w:t>17</w:t>
      </w:r>
      <w:r>
        <w:fldChar w:fldCharType="end"/>
      </w:r>
      <w:r>
        <w:rPr>
          <w:rFonts w:hint="eastAsia" w:asciiTheme="minorEastAsia" w:hAnsiTheme="minorEastAsia" w:eastAsiaTheme="minorEastAsia" w:cstheme="minorEastAsia"/>
          <w:iCs w:val="0"/>
          <w:color w:val="auto"/>
          <w:highlight w:val="none"/>
        </w:rPr>
        <w:fldChar w:fldCharType="end"/>
      </w:r>
    </w:p>
    <w:p w14:paraId="43BE8547">
      <w:pPr>
        <w:pStyle w:val="38"/>
        <w:tabs>
          <w:tab w:val="right" w:leader="dot" w:pos="9354"/>
          <w:tab w:val="clear" w:pos="8609"/>
        </w:tabs>
      </w:pPr>
      <w:r>
        <w:rPr>
          <w:rFonts w:hint="eastAsia" w:asciiTheme="minorEastAsia" w:hAnsiTheme="minorEastAsia" w:eastAsiaTheme="minorEastAsia" w:cstheme="minorEastAsia"/>
          <w:iCs w:val="0"/>
          <w:color w:val="auto"/>
          <w:highlight w:val="none"/>
        </w:rPr>
        <w:fldChar w:fldCharType="begin"/>
      </w:r>
      <w:r>
        <w:rPr>
          <w:rFonts w:hint="eastAsia" w:asciiTheme="minorEastAsia" w:hAnsiTheme="minorEastAsia" w:eastAsiaTheme="minorEastAsia" w:cstheme="minorEastAsia"/>
          <w:iCs w:val="0"/>
          <w:highlight w:val="none"/>
        </w:rPr>
        <w:instrText xml:space="preserve"> HYPERLINK \l _Toc14561 </w:instrText>
      </w:r>
      <w:r>
        <w:rPr>
          <w:rFonts w:hint="eastAsia" w:asciiTheme="minorEastAsia" w:hAnsiTheme="minorEastAsia" w:eastAsiaTheme="minorEastAsia" w:cstheme="minorEastAsia"/>
          <w:iCs w:val="0"/>
          <w:highlight w:val="none"/>
        </w:rPr>
        <w:fldChar w:fldCharType="separate"/>
      </w:r>
      <w:r>
        <w:rPr>
          <w:rFonts w:hint="eastAsia" w:ascii="宋体" w:hAnsi="宋体" w:eastAsia="宋体" w:cs="宋体"/>
          <w:snapToGrid w:val="0"/>
          <w:spacing w:val="0"/>
          <w:highlight w:val="none"/>
        </w:rPr>
        <w:t>5.  开标</w:t>
      </w:r>
      <w:r>
        <w:tab/>
      </w:r>
      <w:r>
        <w:fldChar w:fldCharType="begin"/>
      </w:r>
      <w:r>
        <w:instrText xml:space="preserve"> PAGEREF _Toc14561 \h </w:instrText>
      </w:r>
      <w:r>
        <w:fldChar w:fldCharType="separate"/>
      </w:r>
      <w:r>
        <w:t>18</w:t>
      </w:r>
      <w:r>
        <w:fldChar w:fldCharType="end"/>
      </w:r>
      <w:r>
        <w:rPr>
          <w:rFonts w:hint="eastAsia" w:asciiTheme="minorEastAsia" w:hAnsiTheme="minorEastAsia" w:eastAsiaTheme="minorEastAsia" w:cstheme="minorEastAsia"/>
          <w:iCs w:val="0"/>
          <w:color w:val="auto"/>
          <w:highlight w:val="none"/>
        </w:rPr>
        <w:fldChar w:fldCharType="end"/>
      </w:r>
    </w:p>
    <w:p w14:paraId="439253CF">
      <w:pPr>
        <w:pStyle w:val="38"/>
        <w:tabs>
          <w:tab w:val="right" w:leader="dot" w:pos="9354"/>
          <w:tab w:val="clear" w:pos="8609"/>
        </w:tabs>
      </w:pPr>
      <w:r>
        <w:rPr>
          <w:rFonts w:hint="eastAsia" w:asciiTheme="minorEastAsia" w:hAnsiTheme="minorEastAsia" w:eastAsiaTheme="minorEastAsia" w:cstheme="minorEastAsia"/>
          <w:iCs w:val="0"/>
          <w:color w:val="auto"/>
          <w:highlight w:val="none"/>
        </w:rPr>
        <w:fldChar w:fldCharType="begin"/>
      </w:r>
      <w:r>
        <w:rPr>
          <w:rFonts w:hint="eastAsia" w:asciiTheme="minorEastAsia" w:hAnsiTheme="minorEastAsia" w:eastAsiaTheme="minorEastAsia" w:cstheme="minorEastAsia"/>
          <w:iCs w:val="0"/>
          <w:highlight w:val="none"/>
        </w:rPr>
        <w:instrText xml:space="preserve"> HYPERLINK \l _Toc12128 </w:instrText>
      </w:r>
      <w:r>
        <w:rPr>
          <w:rFonts w:hint="eastAsia" w:asciiTheme="minorEastAsia" w:hAnsiTheme="minorEastAsia" w:eastAsiaTheme="minorEastAsia" w:cstheme="minorEastAsia"/>
          <w:iCs w:val="0"/>
          <w:highlight w:val="none"/>
        </w:rPr>
        <w:fldChar w:fldCharType="separate"/>
      </w:r>
      <w:r>
        <w:rPr>
          <w:rFonts w:hint="eastAsia" w:ascii="宋体" w:hAnsi="宋体" w:eastAsia="宋体" w:cs="宋体"/>
          <w:snapToGrid w:val="0"/>
          <w:spacing w:val="0"/>
          <w:highlight w:val="none"/>
        </w:rPr>
        <w:t>6.  评标</w:t>
      </w:r>
      <w:r>
        <w:tab/>
      </w:r>
      <w:r>
        <w:fldChar w:fldCharType="begin"/>
      </w:r>
      <w:r>
        <w:instrText xml:space="preserve"> PAGEREF _Toc12128 \h </w:instrText>
      </w:r>
      <w:r>
        <w:fldChar w:fldCharType="separate"/>
      </w:r>
      <w:r>
        <w:t>18</w:t>
      </w:r>
      <w:r>
        <w:fldChar w:fldCharType="end"/>
      </w:r>
      <w:r>
        <w:rPr>
          <w:rFonts w:hint="eastAsia" w:asciiTheme="minorEastAsia" w:hAnsiTheme="minorEastAsia" w:eastAsiaTheme="minorEastAsia" w:cstheme="minorEastAsia"/>
          <w:iCs w:val="0"/>
          <w:color w:val="auto"/>
          <w:highlight w:val="none"/>
        </w:rPr>
        <w:fldChar w:fldCharType="end"/>
      </w:r>
    </w:p>
    <w:p w14:paraId="3606A493">
      <w:pPr>
        <w:pStyle w:val="38"/>
        <w:tabs>
          <w:tab w:val="right" w:leader="dot" w:pos="9354"/>
          <w:tab w:val="clear" w:pos="8609"/>
        </w:tabs>
      </w:pPr>
      <w:r>
        <w:rPr>
          <w:rFonts w:hint="eastAsia" w:asciiTheme="minorEastAsia" w:hAnsiTheme="minorEastAsia" w:eastAsiaTheme="minorEastAsia" w:cstheme="minorEastAsia"/>
          <w:iCs w:val="0"/>
          <w:color w:val="auto"/>
          <w:highlight w:val="none"/>
        </w:rPr>
        <w:fldChar w:fldCharType="begin"/>
      </w:r>
      <w:r>
        <w:rPr>
          <w:rFonts w:hint="eastAsia" w:asciiTheme="minorEastAsia" w:hAnsiTheme="minorEastAsia" w:eastAsiaTheme="minorEastAsia" w:cstheme="minorEastAsia"/>
          <w:iCs w:val="0"/>
          <w:highlight w:val="none"/>
        </w:rPr>
        <w:instrText xml:space="preserve"> HYPERLINK \l _Toc8705 </w:instrText>
      </w:r>
      <w:r>
        <w:rPr>
          <w:rFonts w:hint="eastAsia" w:asciiTheme="minorEastAsia" w:hAnsiTheme="minorEastAsia" w:eastAsiaTheme="minorEastAsia" w:cstheme="minorEastAsia"/>
          <w:iCs w:val="0"/>
          <w:highlight w:val="none"/>
        </w:rPr>
        <w:fldChar w:fldCharType="separate"/>
      </w:r>
      <w:r>
        <w:rPr>
          <w:rFonts w:hint="eastAsia" w:ascii="宋体" w:hAnsi="宋体" w:eastAsia="宋体" w:cs="宋体"/>
          <w:snapToGrid w:val="0"/>
          <w:spacing w:val="0"/>
          <w:highlight w:val="none"/>
        </w:rPr>
        <w:t>7.  合同授予</w:t>
      </w:r>
      <w:r>
        <w:tab/>
      </w:r>
      <w:r>
        <w:fldChar w:fldCharType="begin"/>
      </w:r>
      <w:r>
        <w:instrText xml:space="preserve"> PAGEREF _Toc8705 \h </w:instrText>
      </w:r>
      <w:r>
        <w:fldChar w:fldCharType="separate"/>
      </w:r>
      <w:r>
        <w:t>18</w:t>
      </w:r>
      <w:r>
        <w:fldChar w:fldCharType="end"/>
      </w:r>
      <w:r>
        <w:rPr>
          <w:rFonts w:hint="eastAsia" w:asciiTheme="minorEastAsia" w:hAnsiTheme="minorEastAsia" w:eastAsiaTheme="minorEastAsia" w:cstheme="minorEastAsia"/>
          <w:iCs w:val="0"/>
          <w:color w:val="auto"/>
          <w:highlight w:val="none"/>
        </w:rPr>
        <w:fldChar w:fldCharType="end"/>
      </w:r>
    </w:p>
    <w:p w14:paraId="5E3DC5C3">
      <w:pPr>
        <w:pStyle w:val="38"/>
        <w:tabs>
          <w:tab w:val="right" w:leader="dot" w:pos="9354"/>
          <w:tab w:val="clear" w:pos="8609"/>
        </w:tabs>
      </w:pPr>
      <w:r>
        <w:rPr>
          <w:rFonts w:hint="eastAsia" w:asciiTheme="minorEastAsia" w:hAnsiTheme="minorEastAsia" w:eastAsiaTheme="minorEastAsia" w:cstheme="minorEastAsia"/>
          <w:iCs w:val="0"/>
          <w:color w:val="auto"/>
          <w:highlight w:val="none"/>
        </w:rPr>
        <w:fldChar w:fldCharType="begin"/>
      </w:r>
      <w:r>
        <w:rPr>
          <w:rFonts w:hint="eastAsia" w:asciiTheme="minorEastAsia" w:hAnsiTheme="minorEastAsia" w:eastAsiaTheme="minorEastAsia" w:cstheme="minorEastAsia"/>
          <w:iCs w:val="0"/>
          <w:highlight w:val="none"/>
        </w:rPr>
        <w:instrText xml:space="preserve"> HYPERLINK \l _Toc13681 </w:instrText>
      </w:r>
      <w:r>
        <w:rPr>
          <w:rFonts w:hint="eastAsia" w:asciiTheme="minorEastAsia" w:hAnsiTheme="minorEastAsia" w:eastAsiaTheme="minorEastAsia" w:cstheme="minorEastAsia"/>
          <w:iCs w:val="0"/>
          <w:highlight w:val="none"/>
        </w:rPr>
        <w:fldChar w:fldCharType="separate"/>
      </w:r>
      <w:r>
        <w:rPr>
          <w:rFonts w:hint="eastAsia" w:ascii="宋体" w:hAnsi="宋体" w:eastAsia="宋体" w:cs="宋体"/>
          <w:snapToGrid w:val="0"/>
          <w:spacing w:val="0"/>
          <w:highlight w:val="none"/>
        </w:rPr>
        <w:t>8.  重新比选和不再比选</w:t>
      </w:r>
      <w:r>
        <w:tab/>
      </w:r>
      <w:r>
        <w:fldChar w:fldCharType="begin"/>
      </w:r>
      <w:r>
        <w:instrText xml:space="preserve"> PAGEREF _Toc13681 \h </w:instrText>
      </w:r>
      <w:r>
        <w:fldChar w:fldCharType="separate"/>
      </w:r>
      <w:r>
        <w:t>19</w:t>
      </w:r>
      <w:r>
        <w:fldChar w:fldCharType="end"/>
      </w:r>
      <w:r>
        <w:rPr>
          <w:rFonts w:hint="eastAsia" w:asciiTheme="minorEastAsia" w:hAnsiTheme="minorEastAsia" w:eastAsiaTheme="minorEastAsia" w:cstheme="minorEastAsia"/>
          <w:iCs w:val="0"/>
          <w:color w:val="auto"/>
          <w:highlight w:val="none"/>
        </w:rPr>
        <w:fldChar w:fldCharType="end"/>
      </w:r>
    </w:p>
    <w:p w14:paraId="098ACCFF">
      <w:pPr>
        <w:pStyle w:val="38"/>
        <w:tabs>
          <w:tab w:val="right" w:leader="dot" w:pos="9354"/>
          <w:tab w:val="clear" w:pos="8609"/>
        </w:tabs>
      </w:pPr>
      <w:r>
        <w:rPr>
          <w:rFonts w:hint="eastAsia" w:asciiTheme="minorEastAsia" w:hAnsiTheme="minorEastAsia" w:eastAsiaTheme="minorEastAsia" w:cstheme="minorEastAsia"/>
          <w:iCs w:val="0"/>
          <w:color w:val="auto"/>
          <w:highlight w:val="none"/>
        </w:rPr>
        <w:fldChar w:fldCharType="begin"/>
      </w:r>
      <w:r>
        <w:rPr>
          <w:rFonts w:hint="eastAsia" w:asciiTheme="minorEastAsia" w:hAnsiTheme="minorEastAsia" w:eastAsiaTheme="minorEastAsia" w:cstheme="minorEastAsia"/>
          <w:iCs w:val="0"/>
          <w:highlight w:val="none"/>
        </w:rPr>
        <w:instrText xml:space="preserve"> HYPERLINK \l _Toc12317 </w:instrText>
      </w:r>
      <w:r>
        <w:rPr>
          <w:rFonts w:hint="eastAsia" w:asciiTheme="minorEastAsia" w:hAnsiTheme="minorEastAsia" w:eastAsiaTheme="minorEastAsia" w:cstheme="minorEastAsia"/>
          <w:iCs w:val="0"/>
          <w:highlight w:val="none"/>
        </w:rPr>
        <w:fldChar w:fldCharType="separate"/>
      </w:r>
      <w:r>
        <w:rPr>
          <w:rFonts w:hint="eastAsia" w:ascii="宋体" w:hAnsi="宋体" w:eastAsia="宋体" w:cs="宋体"/>
          <w:snapToGrid w:val="0"/>
          <w:highlight w:val="none"/>
        </w:rPr>
        <w:t>9. 纪律和监督</w:t>
      </w:r>
      <w:r>
        <w:tab/>
      </w:r>
      <w:r>
        <w:fldChar w:fldCharType="begin"/>
      </w:r>
      <w:r>
        <w:instrText xml:space="preserve"> PAGEREF _Toc12317 \h </w:instrText>
      </w:r>
      <w:r>
        <w:fldChar w:fldCharType="separate"/>
      </w:r>
      <w:r>
        <w:t>20</w:t>
      </w:r>
      <w:r>
        <w:fldChar w:fldCharType="end"/>
      </w:r>
      <w:r>
        <w:rPr>
          <w:rFonts w:hint="eastAsia" w:asciiTheme="minorEastAsia" w:hAnsiTheme="minorEastAsia" w:eastAsiaTheme="minorEastAsia" w:cstheme="minorEastAsia"/>
          <w:iCs w:val="0"/>
          <w:color w:val="auto"/>
          <w:highlight w:val="none"/>
        </w:rPr>
        <w:fldChar w:fldCharType="end"/>
      </w:r>
    </w:p>
    <w:p w14:paraId="088AEAC9">
      <w:pPr>
        <w:pStyle w:val="38"/>
        <w:tabs>
          <w:tab w:val="right" w:leader="dot" w:pos="9354"/>
          <w:tab w:val="clear" w:pos="8609"/>
        </w:tabs>
      </w:pPr>
      <w:r>
        <w:rPr>
          <w:rFonts w:hint="eastAsia" w:asciiTheme="minorEastAsia" w:hAnsiTheme="minorEastAsia" w:eastAsiaTheme="minorEastAsia" w:cstheme="minorEastAsia"/>
          <w:iCs w:val="0"/>
          <w:color w:val="auto"/>
          <w:highlight w:val="none"/>
        </w:rPr>
        <w:fldChar w:fldCharType="begin"/>
      </w:r>
      <w:r>
        <w:rPr>
          <w:rFonts w:hint="eastAsia" w:asciiTheme="minorEastAsia" w:hAnsiTheme="minorEastAsia" w:eastAsiaTheme="minorEastAsia" w:cstheme="minorEastAsia"/>
          <w:iCs w:val="0"/>
          <w:highlight w:val="none"/>
        </w:rPr>
        <w:instrText xml:space="preserve"> HYPERLINK \l _Toc31824 </w:instrText>
      </w:r>
      <w:r>
        <w:rPr>
          <w:rFonts w:hint="eastAsia" w:asciiTheme="minorEastAsia" w:hAnsiTheme="minorEastAsia" w:eastAsiaTheme="minorEastAsia" w:cstheme="minorEastAsia"/>
          <w:iCs w:val="0"/>
          <w:highlight w:val="none"/>
        </w:rPr>
        <w:fldChar w:fldCharType="separate"/>
      </w:r>
      <w:r>
        <w:rPr>
          <w:rFonts w:hint="eastAsia" w:ascii="宋体" w:hAnsi="宋体" w:eastAsia="宋体" w:cs="宋体"/>
          <w:snapToGrid w:val="0"/>
          <w:highlight w:val="none"/>
        </w:rPr>
        <w:t>10. 需要补充的其他内容</w:t>
      </w:r>
      <w:r>
        <w:tab/>
      </w:r>
      <w:r>
        <w:fldChar w:fldCharType="begin"/>
      </w:r>
      <w:r>
        <w:instrText xml:space="preserve"> PAGEREF _Toc31824 \h </w:instrText>
      </w:r>
      <w:r>
        <w:fldChar w:fldCharType="separate"/>
      </w:r>
      <w:r>
        <w:t>21</w:t>
      </w:r>
      <w:r>
        <w:fldChar w:fldCharType="end"/>
      </w:r>
      <w:r>
        <w:rPr>
          <w:rFonts w:hint="eastAsia" w:asciiTheme="minorEastAsia" w:hAnsiTheme="minorEastAsia" w:eastAsiaTheme="minorEastAsia" w:cstheme="minorEastAsia"/>
          <w:iCs w:val="0"/>
          <w:color w:val="auto"/>
          <w:highlight w:val="none"/>
        </w:rPr>
        <w:fldChar w:fldCharType="end"/>
      </w:r>
    </w:p>
    <w:p w14:paraId="42DC1E6C">
      <w:pPr>
        <w:pStyle w:val="32"/>
        <w:tabs>
          <w:tab w:val="right" w:leader="dot" w:pos="9354"/>
          <w:tab w:val="clear" w:pos="1120"/>
          <w:tab w:val="clear" w:pos="8613"/>
        </w:tabs>
      </w:pPr>
      <w:r>
        <w:rPr>
          <w:rFonts w:hint="eastAsia" w:asciiTheme="minorEastAsia" w:hAnsiTheme="minorEastAsia" w:eastAsiaTheme="minorEastAsia" w:cstheme="minorEastAsia"/>
          <w:iCs w:val="0"/>
          <w:color w:val="auto"/>
          <w:highlight w:val="none"/>
        </w:rPr>
        <w:fldChar w:fldCharType="begin"/>
      </w:r>
      <w:r>
        <w:rPr>
          <w:rFonts w:hint="eastAsia" w:asciiTheme="minorEastAsia" w:hAnsiTheme="minorEastAsia" w:eastAsiaTheme="minorEastAsia" w:cstheme="minorEastAsia"/>
          <w:iCs w:val="0"/>
          <w:highlight w:val="none"/>
        </w:rPr>
        <w:instrText xml:space="preserve"> HYPERLINK \l _Toc4477 </w:instrText>
      </w:r>
      <w:r>
        <w:rPr>
          <w:rFonts w:hint="eastAsia" w:asciiTheme="minorEastAsia" w:hAnsiTheme="minorEastAsia" w:eastAsiaTheme="minorEastAsia" w:cstheme="minorEastAsia"/>
          <w:iCs w:val="0"/>
          <w:highlight w:val="none"/>
        </w:rPr>
        <w:fldChar w:fldCharType="separate"/>
      </w:r>
      <w:r>
        <w:rPr>
          <w:rFonts w:hint="eastAsia" w:ascii="宋体" w:hAnsi="宋体" w:cs="宋体"/>
          <w:highlight w:val="none"/>
        </w:rPr>
        <w:t>第三章  评标办法（</w:t>
      </w:r>
      <w:r>
        <w:rPr>
          <w:rFonts w:hint="eastAsia" w:ascii="宋体" w:hAnsi="宋体" w:cs="宋体"/>
          <w:highlight w:val="none"/>
          <w:lang w:val="en-US" w:eastAsia="zh-CN"/>
        </w:rPr>
        <w:t>最低价评标</w:t>
      </w:r>
      <w:r>
        <w:rPr>
          <w:rFonts w:hint="eastAsia" w:ascii="宋体" w:hAnsi="宋体" w:cs="宋体"/>
          <w:highlight w:val="none"/>
        </w:rPr>
        <w:t>法）</w:t>
      </w:r>
      <w:r>
        <w:tab/>
      </w:r>
      <w:r>
        <w:fldChar w:fldCharType="begin"/>
      </w:r>
      <w:r>
        <w:instrText xml:space="preserve"> PAGEREF _Toc4477 \h </w:instrText>
      </w:r>
      <w:r>
        <w:fldChar w:fldCharType="separate"/>
      </w:r>
      <w:r>
        <w:t>25</w:t>
      </w:r>
      <w:r>
        <w:fldChar w:fldCharType="end"/>
      </w:r>
      <w:r>
        <w:rPr>
          <w:rFonts w:hint="eastAsia" w:asciiTheme="minorEastAsia" w:hAnsiTheme="minorEastAsia" w:eastAsiaTheme="minorEastAsia" w:cstheme="minorEastAsia"/>
          <w:iCs w:val="0"/>
          <w:color w:val="auto"/>
          <w:highlight w:val="none"/>
        </w:rPr>
        <w:fldChar w:fldCharType="end"/>
      </w:r>
    </w:p>
    <w:p w14:paraId="01077931">
      <w:pPr>
        <w:pStyle w:val="32"/>
        <w:tabs>
          <w:tab w:val="right" w:leader="dot" w:pos="9354"/>
          <w:tab w:val="clear" w:pos="1120"/>
          <w:tab w:val="clear" w:pos="8613"/>
        </w:tabs>
      </w:pPr>
      <w:r>
        <w:rPr>
          <w:rFonts w:hint="eastAsia" w:asciiTheme="minorEastAsia" w:hAnsiTheme="minorEastAsia" w:eastAsiaTheme="minorEastAsia" w:cstheme="minorEastAsia"/>
          <w:iCs w:val="0"/>
          <w:color w:val="auto"/>
          <w:highlight w:val="none"/>
        </w:rPr>
        <w:fldChar w:fldCharType="begin"/>
      </w:r>
      <w:r>
        <w:rPr>
          <w:rFonts w:hint="eastAsia" w:asciiTheme="minorEastAsia" w:hAnsiTheme="minorEastAsia" w:eastAsiaTheme="minorEastAsia" w:cstheme="minorEastAsia"/>
          <w:iCs w:val="0"/>
          <w:highlight w:val="none"/>
        </w:rPr>
        <w:instrText xml:space="preserve"> HYPERLINK \l _Toc6487 </w:instrText>
      </w:r>
      <w:r>
        <w:rPr>
          <w:rFonts w:hint="eastAsia" w:asciiTheme="minorEastAsia" w:hAnsiTheme="minorEastAsia" w:eastAsiaTheme="minorEastAsia" w:cstheme="minorEastAsia"/>
          <w:iCs w:val="0"/>
          <w:highlight w:val="none"/>
        </w:rPr>
        <w:fldChar w:fldCharType="separate"/>
      </w:r>
      <w:r>
        <w:rPr>
          <w:rFonts w:hint="eastAsia" w:ascii="宋体" w:hAnsi="宋体" w:cs="宋体"/>
          <w:szCs w:val="21"/>
          <w:highlight w:val="none"/>
        </w:rPr>
        <w:t>评标办法前附表</w:t>
      </w:r>
      <w:r>
        <w:tab/>
      </w:r>
      <w:r>
        <w:fldChar w:fldCharType="begin"/>
      </w:r>
      <w:r>
        <w:instrText xml:space="preserve"> PAGEREF _Toc6487 \h </w:instrText>
      </w:r>
      <w:r>
        <w:fldChar w:fldCharType="separate"/>
      </w:r>
      <w:r>
        <w:t>25</w:t>
      </w:r>
      <w:r>
        <w:fldChar w:fldCharType="end"/>
      </w:r>
      <w:r>
        <w:rPr>
          <w:rFonts w:hint="eastAsia" w:asciiTheme="minorEastAsia" w:hAnsiTheme="minorEastAsia" w:eastAsiaTheme="minorEastAsia" w:cstheme="minorEastAsia"/>
          <w:iCs w:val="0"/>
          <w:color w:val="auto"/>
          <w:highlight w:val="none"/>
        </w:rPr>
        <w:fldChar w:fldCharType="end"/>
      </w:r>
    </w:p>
    <w:p w14:paraId="6E5E9E04">
      <w:pPr>
        <w:pStyle w:val="38"/>
        <w:tabs>
          <w:tab w:val="right" w:leader="dot" w:pos="9354"/>
          <w:tab w:val="clear" w:pos="8609"/>
        </w:tabs>
      </w:pPr>
      <w:r>
        <w:rPr>
          <w:rFonts w:hint="eastAsia" w:asciiTheme="minorEastAsia" w:hAnsiTheme="minorEastAsia" w:eastAsiaTheme="minorEastAsia" w:cstheme="minorEastAsia"/>
          <w:iCs w:val="0"/>
          <w:color w:val="auto"/>
          <w:highlight w:val="none"/>
        </w:rPr>
        <w:fldChar w:fldCharType="begin"/>
      </w:r>
      <w:r>
        <w:rPr>
          <w:rFonts w:hint="eastAsia" w:asciiTheme="minorEastAsia" w:hAnsiTheme="minorEastAsia" w:eastAsiaTheme="minorEastAsia" w:cstheme="minorEastAsia"/>
          <w:iCs w:val="0"/>
          <w:highlight w:val="none"/>
        </w:rPr>
        <w:instrText xml:space="preserve"> HYPERLINK \l _Toc19865 </w:instrText>
      </w:r>
      <w:r>
        <w:rPr>
          <w:rFonts w:hint="eastAsia" w:asciiTheme="minorEastAsia" w:hAnsiTheme="minorEastAsia" w:eastAsiaTheme="minorEastAsia" w:cstheme="minorEastAsia"/>
          <w:iCs w:val="0"/>
          <w:highlight w:val="none"/>
        </w:rPr>
        <w:fldChar w:fldCharType="separate"/>
      </w:r>
      <w:r>
        <w:rPr>
          <w:rFonts w:hint="eastAsia" w:ascii="宋体" w:hAnsi="宋体" w:eastAsia="宋体" w:cs="宋体"/>
          <w:szCs w:val="21"/>
          <w:highlight w:val="none"/>
        </w:rPr>
        <w:t>1. 评标方法</w:t>
      </w:r>
      <w:r>
        <w:tab/>
      </w:r>
      <w:r>
        <w:fldChar w:fldCharType="begin"/>
      </w:r>
      <w:r>
        <w:instrText xml:space="preserve"> PAGEREF _Toc19865 \h </w:instrText>
      </w:r>
      <w:r>
        <w:fldChar w:fldCharType="separate"/>
      </w:r>
      <w:r>
        <w:t>27</w:t>
      </w:r>
      <w:r>
        <w:fldChar w:fldCharType="end"/>
      </w:r>
      <w:r>
        <w:rPr>
          <w:rFonts w:hint="eastAsia" w:asciiTheme="minorEastAsia" w:hAnsiTheme="minorEastAsia" w:eastAsiaTheme="minorEastAsia" w:cstheme="minorEastAsia"/>
          <w:iCs w:val="0"/>
          <w:color w:val="auto"/>
          <w:highlight w:val="none"/>
        </w:rPr>
        <w:fldChar w:fldCharType="end"/>
      </w:r>
    </w:p>
    <w:p w14:paraId="19BD3835">
      <w:pPr>
        <w:pStyle w:val="38"/>
        <w:tabs>
          <w:tab w:val="right" w:leader="dot" w:pos="9354"/>
          <w:tab w:val="clear" w:pos="8609"/>
        </w:tabs>
      </w:pPr>
      <w:r>
        <w:rPr>
          <w:rFonts w:hint="eastAsia" w:asciiTheme="minorEastAsia" w:hAnsiTheme="minorEastAsia" w:eastAsiaTheme="minorEastAsia" w:cstheme="minorEastAsia"/>
          <w:iCs w:val="0"/>
          <w:color w:val="auto"/>
          <w:highlight w:val="none"/>
        </w:rPr>
        <w:fldChar w:fldCharType="begin"/>
      </w:r>
      <w:r>
        <w:rPr>
          <w:rFonts w:hint="eastAsia" w:asciiTheme="minorEastAsia" w:hAnsiTheme="minorEastAsia" w:eastAsiaTheme="minorEastAsia" w:cstheme="minorEastAsia"/>
          <w:iCs w:val="0"/>
          <w:highlight w:val="none"/>
        </w:rPr>
        <w:instrText xml:space="preserve"> HYPERLINK \l _Toc10129 </w:instrText>
      </w:r>
      <w:r>
        <w:rPr>
          <w:rFonts w:hint="eastAsia" w:asciiTheme="minorEastAsia" w:hAnsiTheme="minorEastAsia" w:eastAsiaTheme="minorEastAsia" w:cstheme="minorEastAsia"/>
          <w:iCs w:val="0"/>
          <w:highlight w:val="none"/>
        </w:rPr>
        <w:fldChar w:fldCharType="separate"/>
      </w:r>
      <w:r>
        <w:rPr>
          <w:rFonts w:hint="eastAsia" w:ascii="宋体" w:hAnsi="宋体" w:eastAsia="宋体" w:cs="宋体"/>
          <w:szCs w:val="21"/>
          <w:highlight w:val="none"/>
        </w:rPr>
        <w:t>2.  评审标准</w:t>
      </w:r>
      <w:r>
        <w:tab/>
      </w:r>
      <w:r>
        <w:fldChar w:fldCharType="begin"/>
      </w:r>
      <w:r>
        <w:instrText xml:space="preserve"> PAGEREF _Toc10129 \h </w:instrText>
      </w:r>
      <w:r>
        <w:fldChar w:fldCharType="separate"/>
      </w:r>
      <w:r>
        <w:t>27</w:t>
      </w:r>
      <w:r>
        <w:fldChar w:fldCharType="end"/>
      </w:r>
      <w:r>
        <w:rPr>
          <w:rFonts w:hint="eastAsia" w:asciiTheme="minorEastAsia" w:hAnsiTheme="minorEastAsia" w:eastAsiaTheme="minorEastAsia" w:cstheme="minorEastAsia"/>
          <w:iCs w:val="0"/>
          <w:color w:val="auto"/>
          <w:highlight w:val="none"/>
        </w:rPr>
        <w:fldChar w:fldCharType="end"/>
      </w:r>
    </w:p>
    <w:p w14:paraId="278BCB72">
      <w:pPr>
        <w:pStyle w:val="38"/>
        <w:tabs>
          <w:tab w:val="right" w:leader="dot" w:pos="9354"/>
          <w:tab w:val="clear" w:pos="8609"/>
        </w:tabs>
      </w:pPr>
      <w:r>
        <w:rPr>
          <w:rFonts w:hint="eastAsia" w:asciiTheme="minorEastAsia" w:hAnsiTheme="minorEastAsia" w:eastAsiaTheme="minorEastAsia" w:cstheme="minorEastAsia"/>
          <w:iCs w:val="0"/>
          <w:color w:val="auto"/>
          <w:highlight w:val="none"/>
        </w:rPr>
        <w:fldChar w:fldCharType="begin"/>
      </w:r>
      <w:r>
        <w:rPr>
          <w:rFonts w:hint="eastAsia" w:asciiTheme="minorEastAsia" w:hAnsiTheme="minorEastAsia" w:eastAsiaTheme="minorEastAsia" w:cstheme="minorEastAsia"/>
          <w:iCs w:val="0"/>
          <w:highlight w:val="none"/>
        </w:rPr>
        <w:instrText xml:space="preserve"> HYPERLINK \l _Toc26337 </w:instrText>
      </w:r>
      <w:r>
        <w:rPr>
          <w:rFonts w:hint="eastAsia" w:asciiTheme="minorEastAsia" w:hAnsiTheme="minorEastAsia" w:eastAsiaTheme="minorEastAsia" w:cstheme="minorEastAsia"/>
          <w:iCs w:val="0"/>
          <w:highlight w:val="none"/>
        </w:rPr>
        <w:fldChar w:fldCharType="separate"/>
      </w:r>
      <w:r>
        <w:rPr>
          <w:rFonts w:hint="eastAsia" w:ascii="宋体" w:hAnsi="宋体" w:eastAsia="宋体" w:cs="宋体"/>
          <w:szCs w:val="21"/>
          <w:highlight w:val="none"/>
        </w:rPr>
        <w:t>3.  评标程序</w:t>
      </w:r>
      <w:r>
        <w:tab/>
      </w:r>
      <w:r>
        <w:fldChar w:fldCharType="begin"/>
      </w:r>
      <w:r>
        <w:instrText xml:space="preserve"> PAGEREF _Toc26337 \h </w:instrText>
      </w:r>
      <w:r>
        <w:fldChar w:fldCharType="separate"/>
      </w:r>
      <w:r>
        <w:t>27</w:t>
      </w:r>
      <w:r>
        <w:fldChar w:fldCharType="end"/>
      </w:r>
      <w:r>
        <w:rPr>
          <w:rFonts w:hint="eastAsia" w:asciiTheme="minorEastAsia" w:hAnsiTheme="minorEastAsia" w:eastAsiaTheme="minorEastAsia" w:cstheme="minorEastAsia"/>
          <w:iCs w:val="0"/>
          <w:color w:val="auto"/>
          <w:highlight w:val="none"/>
        </w:rPr>
        <w:fldChar w:fldCharType="end"/>
      </w:r>
    </w:p>
    <w:p w14:paraId="38F8E1EB">
      <w:pPr>
        <w:pStyle w:val="32"/>
        <w:tabs>
          <w:tab w:val="right" w:leader="dot" w:pos="9354"/>
          <w:tab w:val="clear" w:pos="1120"/>
          <w:tab w:val="clear" w:pos="8613"/>
        </w:tabs>
      </w:pPr>
      <w:r>
        <w:rPr>
          <w:rFonts w:hint="eastAsia" w:asciiTheme="minorEastAsia" w:hAnsiTheme="minorEastAsia" w:eastAsiaTheme="minorEastAsia" w:cstheme="minorEastAsia"/>
          <w:iCs w:val="0"/>
          <w:color w:val="auto"/>
          <w:highlight w:val="none"/>
        </w:rPr>
        <w:fldChar w:fldCharType="begin"/>
      </w:r>
      <w:r>
        <w:rPr>
          <w:rFonts w:hint="eastAsia" w:asciiTheme="minorEastAsia" w:hAnsiTheme="minorEastAsia" w:eastAsiaTheme="minorEastAsia" w:cstheme="minorEastAsia"/>
          <w:iCs w:val="0"/>
          <w:highlight w:val="none"/>
        </w:rPr>
        <w:instrText xml:space="preserve"> HYPERLINK \l _Toc27899 </w:instrText>
      </w:r>
      <w:r>
        <w:rPr>
          <w:rFonts w:hint="eastAsia" w:asciiTheme="minorEastAsia" w:hAnsiTheme="minorEastAsia" w:eastAsiaTheme="minorEastAsia" w:cstheme="minorEastAsia"/>
          <w:iCs w:val="0"/>
          <w:highlight w:val="none"/>
        </w:rPr>
        <w:fldChar w:fldCharType="separate"/>
      </w:r>
      <w:r>
        <w:rPr>
          <w:rFonts w:hint="eastAsia" w:ascii="宋体" w:hAnsi="宋体" w:cs="宋体"/>
          <w:bCs w:val="0"/>
          <w:highlight w:val="none"/>
        </w:rPr>
        <w:t>第四章 合同条款及格式</w:t>
      </w:r>
      <w:r>
        <w:tab/>
      </w:r>
      <w:r>
        <w:fldChar w:fldCharType="begin"/>
      </w:r>
      <w:r>
        <w:instrText xml:space="preserve"> PAGEREF _Toc27899 \h </w:instrText>
      </w:r>
      <w:r>
        <w:fldChar w:fldCharType="separate"/>
      </w:r>
      <w:r>
        <w:t>29</w:t>
      </w:r>
      <w:r>
        <w:fldChar w:fldCharType="end"/>
      </w:r>
      <w:r>
        <w:rPr>
          <w:rFonts w:hint="eastAsia" w:asciiTheme="minorEastAsia" w:hAnsiTheme="minorEastAsia" w:eastAsiaTheme="minorEastAsia" w:cstheme="minorEastAsia"/>
          <w:iCs w:val="0"/>
          <w:color w:val="auto"/>
          <w:highlight w:val="none"/>
        </w:rPr>
        <w:fldChar w:fldCharType="end"/>
      </w:r>
    </w:p>
    <w:p w14:paraId="05E00C9E">
      <w:pPr>
        <w:pStyle w:val="32"/>
        <w:tabs>
          <w:tab w:val="right" w:leader="dot" w:pos="9354"/>
          <w:tab w:val="clear" w:pos="1120"/>
          <w:tab w:val="clear" w:pos="8613"/>
        </w:tabs>
      </w:pPr>
      <w:r>
        <w:rPr>
          <w:rFonts w:hint="eastAsia" w:asciiTheme="minorEastAsia" w:hAnsiTheme="minorEastAsia" w:eastAsiaTheme="minorEastAsia" w:cstheme="minorEastAsia"/>
          <w:iCs w:val="0"/>
          <w:color w:val="auto"/>
          <w:highlight w:val="none"/>
        </w:rPr>
        <w:fldChar w:fldCharType="begin"/>
      </w:r>
      <w:r>
        <w:rPr>
          <w:rFonts w:hint="eastAsia" w:asciiTheme="minorEastAsia" w:hAnsiTheme="minorEastAsia" w:eastAsiaTheme="minorEastAsia" w:cstheme="minorEastAsia"/>
          <w:iCs w:val="0"/>
          <w:highlight w:val="none"/>
        </w:rPr>
        <w:instrText xml:space="preserve"> HYPERLINK \l _Toc23461 </w:instrText>
      </w:r>
      <w:r>
        <w:rPr>
          <w:rFonts w:hint="eastAsia" w:asciiTheme="minorEastAsia" w:hAnsiTheme="minorEastAsia" w:eastAsiaTheme="minorEastAsia" w:cstheme="minorEastAsia"/>
          <w:iCs w:val="0"/>
          <w:highlight w:val="none"/>
        </w:rPr>
        <w:fldChar w:fldCharType="separate"/>
      </w:r>
      <w:r>
        <w:rPr>
          <w:rFonts w:hint="eastAsia" w:ascii="宋体" w:hAnsi="宋体" w:cs="宋体"/>
          <w:szCs w:val="48"/>
          <w:highlight w:val="none"/>
        </w:rPr>
        <w:t>第五章 工程量清单和图纸</w:t>
      </w:r>
      <w:r>
        <w:tab/>
      </w:r>
      <w:r>
        <w:fldChar w:fldCharType="begin"/>
      </w:r>
      <w:r>
        <w:instrText xml:space="preserve"> PAGEREF _Toc23461 \h </w:instrText>
      </w:r>
      <w:r>
        <w:fldChar w:fldCharType="separate"/>
      </w:r>
      <w:r>
        <w:t>119</w:t>
      </w:r>
      <w:r>
        <w:fldChar w:fldCharType="end"/>
      </w:r>
      <w:r>
        <w:rPr>
          <w:rFonts w:hint="eastAsia" w:asciiTheme="minorEastAsia" w:hAnsiTheme="minorEastAsia" w:eastAsiaTheme="minorEastAsia" w:cstheme="minorEastAsia"/>
          <w:iCs w:val="0"/>
          <w:color w:val="auto"/>
          <w:highlight w:val="none"/>
        </w:rPr>
        <w:fldChar w:fldCharType="end"/>
      </w:r>
    </w:p>
    <w:p w14:paraId="2107ECB3">
      <w:pPr>
        <w:pStyle w:val="32"/>
        <w:tabs>
          <w:tab w:val="right" w:leader="dot" w:pos="9354"/>
          <w:tab w:val="clear" w:pos="1120"/>
          <w:tab w:val="clear" w:pos="8613"/>
        </w:tabs>
      </w:pPr>
      <w:r>
        <w:rPr>
          <w:rFonts w:hint="eastAsia" w:asciiTheme="minorEastAsia" w:hAnsiTheme="minorEastAsia" w:eastAsiaTheme="minorEastAsia" w:cstheme="minorEastAsia"/>
          <w:iCs w:val="0"/>
          <w:color w:val="auto"/>
          <w:highlight w:val="none"/>
        </w:rPr>
        <w:fldChar w:fldCharType="begin"/>
      </w:r>
      <w:r>
        <w:rPr>
          <w:rFonts w:hint="eastAsia" w:asciiTheme="minorEastAsia" w:hAnsiTheme="minorEastAsia" w:eastAsiaTheme="minorEastAsia" w:cstheme="minorEastAsia"/>
          <w:iCs w:val="0"/>
          <w:highlight w:val="none"/>
        </w:rPr>
        <w:instrText xml:space="preserve"> HYPERLINK \l _Toc23105 </w:instrText>
      </w:r>
      <w:r>
        <w:rPr>
          <w:rFonts w:hint="eastAsia" w:asciiTheme="minorEastAsia" w:hAnsiTheme="minorEastAsia" w:eastAsiaTheme="minorEastAsia" w:cstheme="minorEastAsia"/>
          <w:iCs w:val="0"/>
          <w:highlight w:val="none"/>
        </w:rPr>
        <w:fldChar w:fldCharType="separate"/>
      </w:r>
      <w:r>
        <w:rPr>
          <w:rFonts w:hint="eastAsia" w:ascii="宋体" w:hAnsi="宋体" w:cs="宋体"/>
          <w:szCs w:val="48"/>
          <w:highlight w:val="none"/>
        </w:rPr>
        <w:t xml:space="preserve">第六章  </w:t>
      </w:r>
      <w:r>
        <w:rPr>
          <w:rFonts w:hint="eastAsia" w:ascii="宋体" w:hAnsi="宋体" w:cs="宋体"/>
          <w:kern w:val="0"/>
          <w:szCs w:val="44"/>
          <w:highlight w:val="none"/>
        </w:rPr>
        <w:t>技术标准和要求</w:t>
      </w:r>
      <w:r>
        <w:tab/>
      </w:r>
      <w:r>
        <w:fldChar w:fldCharType="begin"/>
      </w:r>
      <w:r>
        <w:instrText xml:space="preserve"> PAGEREF _Toc23105 \h </w:instrText>
      </w:r>
      <w:r>
        <w:fldChar w:fldCharType="separate"/>
      </w:r>
      <w:r>
        <w:t>120</w:t>
      </w:r>
      <w:r>
        <w:fldChar w:fldCharType="end"/>
      </w:r>
      <w:r>
        <w:rPr>
          <w:rFonts w:hint="eastAsia" w:asciiTheme="minorEastAsia" w:hAnsiTheme="minorEastAsia" w:eastAsiaTheme="minorEastAsia" w:cstheme="minorEastAsia"/>
          <w:iCs w:val="0"/>
          <w:color w:val="auto"/>
          <w:highlight w:val="none"/>
        </w:rPr>
        <w:fldChar w:fldCharType="end"/>
      </w:r>
    </w:p>
    <w:p w14:paraId="22DB3262">
      <w:pPr>
        <w:pStyle w:val="32"/>
        <w:tabs>
          <w:tab w:val="right" w:leader="dot" w:pos="9354"/>
          <w:tab w:val="clear" w:pos="1120"/>
          <w:tab w:val="clear" w:pos="8613"/>
        </w:tabs>
      </w:pPr>
      <w:r>
        <w:rPr>
          <w:rFonts w:hint="eastAsia" w:asciiTheme="minorEastAsia" w:hAnsiTheme="minorEastAsia" w:eastAsiaTheme="minorEastAsia" w:cstheme="minorEastAsia"/>
          <w:iCs w:val="0"/>
          <w:color w:val="auto"/>
          <w:highlight w:val="none"/>
        </w:rPr>
        <w:fldChar w:fldCharType="begin"/>
      </w:r>
      <w:r>
        <w:rPr>
          <w:rFonts w:hint="eastAsia" w:asciiTheme="minorEastAsia" w:hAnsiTheme="minorEastAsia" w:eastAsiaTheme="minorEastAsia" w:cstheme="minorEastAsia"/>
          <w:iCs w:val="0"/>
          <w:highlight w:val="none"/>
        </w:rPr>
        <w:instrText xml:space="preserve"> HYPERLINK \l _Toc20838 </w:instrText>
      </w:r>
      <w:r>
        <w:rPr>
          <w:rFonts w:hint="eastAsia" w:asciiTheme="minorEastAsia" w:hAnsiTheme="minorEastAsia" w:eastAsiaTheme="minorEastAsia" w:cstheme="minorEastAsia"/>
          <w:iCs w:val="0"/>
          <w:highlight w:val="none"/>
        </w:rPr>
        <w:fldChar w:fldCharType="separate"/>
      </w:r>
      <w:r>
        <w:rPr>
          <w:rFonts w:hint="eastAsia" w:ascii="宋体" w:hAnsi="宋体" w:cs="宋体"/>
          <w:szCs w:val="44"/>
          <w:highlight w:val="none"/>
        </w:rPr>
        <w:t>第七章 竞选文件格式</w:t>
      </w:r>
      <w:r>
        <w:tab/>
      </w:r>
      <w:r>
        <w:fldChar w:fldCharType="begin"/>
      </w:r>
      <w:r>
        <w:instrText xml:space="preserve"> PAGEREF _Toc20838 \h </w:instrText>
      </w:r>
      <w:r>
        <w:fldChar w:fldCharType="separate"/>
      </w:r>
      <w:r>
        <w:t>121</w:t>
      </w:r>
      <w:r>
        <w:fldChar w:fldCharType="end"/>
      </w:r>
      <w:r>
        <w:rPr>
          <w:rFonts w:hint="eastAsia" w:asciiTheme="minorEastAsia" w:hAnsiTheme="minorEastAsia" w:eastAsiaTheme="minorEastAsia" w:cstheme="minorEastAsia"/>
          <w:iCs w:val="0"/>
          <w:color w:val="auto"/>
          <w:highlight w:val="none"/>
        </w:rPr>
        <w:fldChar w:fldCharType="end"/>
      </w:r>
    </w:p>
    <w:p w14:paraId="6B7C8791">
      <w:pPr>
        <w:pStyle w:val="23"/>
        <w:keepNext w:val="0"/>
        <w:keepLines w:val="0"/>
        <w:pageBreakBefore w:val="0"/>
        <w:widowControl w:val="0"/>
        <w:tabs>
          <w:tab w:val="right" w:leader="dot" w:pos="9117"/>
        </w:tabs>
        <w:kinsoku/>
        <w:wordWrap/>
        <w:overflowPunct/>
        <w:topLinePunct w:val="0"/>
        <w:autoSpaceDE/>
        <w:autoSpaceDN/>
        <w:bidi w:val="0"/>
        <w:adjustRightInd/>
        <w:snapToGrid/>
        <w:spacing w:line="400" w:lineRule="exact"/>
        <w:ind w:left="0"/>
        <w:textAlignment w:val="auto"/>
        <w:rPr>
          <w:rFonts w:ascii="宋体" w:hAnsi="宋体" w:eastAsia="宋体" w:cs="宋体"/>
          <w:iCs w:val="0"/>
          <w:color w:val="auto"/>
          <w:highlight w:val="none"/>
        </w:rPr>
      </w:pPr>
      <w:r>
        <w:rPr>
          <w:rFonts w:hint="eastAsia" w:asciiTheme="minorEastAsia" w:hAnsiTheme="minorEastAsia" w:eastAsiaTheme="minorEastAsia" w:cstheme="minorEastAsia"/>
          <w:iCs w:val="0"/>
          <w:color w:val="auto"/>
          <w:highlight w:val="none"/>
        </w:rPr>
        <w:fldChar w:fldCharType="end"/>
      </w:r>
    </w:p>
    <w:p w14:paraId="24F3AA33">
      <w:pPr>
        <w:spacing w:line="500" w:lineRule="exact"/>
        <w:jc w:val="center"/>
        <w:outlineLvl w:val="0"/>
        <w:rPr>
          <w:rFonts w:ascii="宋体" w:hAnsi="宋体" w:cs="宋体"/>
          <w:b/>
          <w:color w:val="auto"/>
          <w:sz w:val="30"/>
          <w:szCs w:val="30"/>
          <w:highlight w:val="none"/>
        </w:rPr>
        <w:sectPr>
          <w:footerReference r:id="rId5" w:type="default"/>
          <w:pgSz w:w="11906" w:h="16838"/>
          <w:pgMar w:top="794" w:right="1134" w:bottom="794" w:left="1418" w:header="851" w:footer="992" w:gutter="0"/>
          <w:pgNumType w:start="1"/>
          <w:cols w:space="720" w:num="1"/>
          <w:docGrid w:linePitch="312" w:charSpace="0"/>
        </w:sectPr>
      </w:pPr>
      <w:bookmarkStart w:id="9" w:name="_Toc245460573"/>
      <w:bookmarkStart w:id="10" w:name="_Toc144974495"/>
      <w:bookmarkStart w:id="11" w:name="_Toc179632544"/>
      <w:bookmarkStart w:id="12" w:name="_Toc152045527"/>
      <w:bookmarkStart w:id="13" w:name="_Toc152042303"/>
    </w:p>
    <w:p w14:paraId="65DF1735">
      <w:pPr>
        <w:numPr>
          <w:ilvl w:val="0"/>
          <w:numId w:val="1"/>
        </w:numPr>
        <w:spacing w:line="500" w:lineRule="exact"/>
        <w:jc w:val="center"/>
        <w:outlineLvl w:val="0"/>
        <w:rPr>
          <w:rFonts w:ascii="宋体" w:hAnsi="宋体" w:cs="宋体"/>
          <w:b/>
          <w:color w:val="auto"/>
          <w:kern w:val="0"/>
          <w:sz w:val="44"/>
          <w:szCs w:val="44"/>
          <w:highlight w:val="none"/>
        </w:rPr>
      </w:pPr>
      <w:r>
        <w:rPr>
          <w:rFonts w:hint="eastAsia" w:ascii="宋体" w:hAnsi="宋体" w:cs="宋体"/>
          <w:b/>
          <w:color w:val="auto"/>
          <w:sz w:val="44"/>
          <w:szCs w:val="44"/>
          <w:highlight w:val="none"/>
        </w:rPr>
        <w:t xml:space="preserve"> </w:t>
      </w:r>
      <w:bookmarkStart w:id="14" w:name="_Toc2493"/>
      <w:r>
        <w:rPr>
          <w:rFonts w:hint="eastAsia" w:ascii="宋体" w:hAnsi="宋体" w:cs="宋体"/>
          <w:b/>
          <w:color w:val="auto"/>
          <w:sz w:val="44"/>
          <w:szCs w:val="44"/>
          <w:highlight w:val="none"/>
        </w:rPr>
        <w:t>竞争性</w:t>
      </w:r>
      <w:r>
        <w:rPr>
          <w:rFonts w:hint="eastAsia" w:ascii="宋体" w:hAnsi="宋体" w:cs="宋体"/>
          <w:b/>
          <w:color w:val="auto"/>
          <w:kern w:val="0"/>
          <w:sz w:val="44"/>
          <w:szCs w:val="44"/>
          <w:highlight w:val="none"/>
        </w:rPr>
        <w:t>比选公告</w:t>
      </w:r>
      <w:bookmarkEnd w:id="14"/>
    </w:p>
    <w:p w14:paraId="38D6FC97">
      <w:pPr>
        <w:pStyle w:val="2"/>
        <w:rPr>
          <w:color w:val="auto"/>
          <w:highlight w:val="none"/>
        </w:rPr>
      </w:pPr>
    </w:p>
    <w:p w14:paraId="32EC9407">
      <w:pPr>
        <w:spacing w:line="500" w:lineRule="exact"/>
        <w:jc w:val="center"/>
        <w:outlineLvl w:val="1"/>
        <w:rPr>
          <w:rFonts w:hint="eastAsia" w:ascii="宋体" w:hAnsi="宋体" w:cs="宋体"/>
          <w:b/>
          <w:color w:val="auto"/>
          <w:sz w:val="30"/>
          <w:szCs w:val="30"/>
          <w:highlight w:val="none"/>
          <w:u w:val="single"/>
          <w:lang w:eastAsia="zh-CN"/>
        </w:rPr>
      </w:pPr>
      <w:bookmarkStart w:id="15" w:name="_Toc25806"/>
      <w:bookmarkStart w:id="16" w:name="_Toc11069"/>
      <w:r>
        <w:rPr>
          <w:rFonts w:hint="eastAsia" w:ascii="宋体" w:hAnsi="宋体" w:cs="宋体"/>
          <w:b/>
          <w:color w:val="auto"/>
          <w:sz w:val="30"/>
          <w:szCs w:val="30"/>
          <w:highlight w:val="none"/>
          <w:u w:val="single"/>
          <w:lang w:eastAsia="zh-CN"/>
        </w:rPr>
        <w:t>重庆市医药卫生学校附属医院广场路面维修改造项目</w:t>
      </w:r>
      <w:bookmarkEnd w:id="15"/>
    </w:p>
    <w:p w14:paraId="4233CAE2">
      <w:pPr>
        <w:spacing w:line="500" w:lineRule="exact"/>
        <w:jc w:val="center"/>
        <w:outlineLvl w:val="1"/>
        <w:rPr>
          <w:rFonts w:ascii="宋体" w:hAnsi="宋体" w:cs="宋体"/>
          <w:b/>
          <w:color w:val="auto"/>
          <w:sz w:val="32"/>
          <w:szCs w:val="32"/>
          <w:highlight w:val="none"/>
        </w:rPr>
      </w:pPr>
      <w:bookmarkStart w:id="17" w:name="_Toc10559"/>
      <w:bookmarkStart w:id="18" w:name="_Toc30186"/>
      <w:bookmarkStart w:id="19" w:name="_Toc25170"/>
      <w:r>
        <w:rPr>
          <w:rFonts w:hint="eastAsia" w:ascii="宋体" w:hAnsi="宋体" w:cs="宋体"/>
          <w:b/>
          <w:color w:val="auto"/>
          <w:sz w:val="32"/>
          <w:szCs w:val="32"/>
          <w:highlight w:val="none"/>
        </w:rPr>
        <w:t>竞争性</w:t>
      </w:r>
      <w:r>
        <w:rPr>
          <w:rFonts w:hint="eastAsia" w:ascii="宋体" w:hAnsi="宋体" w:cs="宋体"/>
          <w:b/>
          <w:color w:val="auto"/>
          <w:kern w:val="0"/>
          <w:sz w:val="32"/>
          <w:szCs w:val="32"/>
          <w:highlight w:val="none"/>
        </w:rPr>
        <w:t>比选公告</w:t>
      </w:r>
      <w:bookmarkEnd w:id="16"/>
      <w:bookmarkEnd w:id="17"/>
      <w:bookmarkEnd w:id="18"/>
      <w:bookmarkEnd w:id="19"/>
    </w:p>
    <w:p w14:paraId="58F0E35B">
      <w:pPr>
        <w:widowControl/>
        <w:spacing w:line="480" w:lineRule="exact"/>
        <w:outlineLvl w:val="1"/>
        <w:rPr>
          <w:rFonts w:ascii="宋体" w:hAnsi="宋体" w:cs="宋体"/>
          <w:b/>
          <w:color w:val="auto"/>
          <w:kern w:val="0"/>
          <w:sz w:val="28"/>
          <w:szCs w:val="28"/>
          <w:highlight w:val="none"/>
        </w:rPr>
      </w:pPr>
      <w:bookmarkStart w:id="20" w:name="_Toc2670"/>
      <w:bookmarkStart w:id="21" w:name="_Toc9500"/>
      <w:r>
        <w:rPr>
          <w:rFonts w:hint="eastAsia" w:ascii="宋体" w:hAnsi="宋体" w:cs="宋体"/>
          <w:b/>
          <w:color w:val="auto"/>
          <w:kern w:val="0"/>
          <w:sz w:val="28"/>
          <w:szCs w:val="28"/>
          <w:highlight w:val="none"/>
        </w:rPr>
        <w:t>1. 比选条件</w:t>
      </w:r>
      <w:bookmarkEnd w:id="20"/>
      <w:bookmarkEnd w:id="21"/>
      <w:r>
        <w:rPr>
          <w:rFonts w:hint="eastAsia" w:ascii="宋体" w:hAnsi="宋体" w:cs="宋体"/>
          <w:b/>
          <w:color w:val="auto"/>
          <w:kern w:val="0"/>
          <w:sz w:val="28"/>
          <w:szCs w:val="28"/>
          <w:highlight w:val="none"/>
        </w:rPr>
        <w:t xml:space="preserve"> </w:t>
      </w:r>
    </w:p>
    <w:p w14:paraId="1F4ED652">
      <w:pPr>
        <w:autoSpaceDE w:val="0"/>
        <w:autoSpaceDN w:val="0"/>
        <w:adjustRightInd w:val="0"/>
        <w:snapToGrid w:val="0"/>
        <w:spacing w:line="480" w:lineRule="exact"/>
        <w:ind w:firstLine="420" w:firstLineChars="200"/>
        <w:jc w:val="left"/>
        <w:rPr>
          <w:rFonts w:ascii="宋体" w:hAnsi="宋体" w:cs="宋体"/>
          <w:color w:val="auto"/>
          <w:szCs w:val="21"/>
          <w:highlight w:val="none"/>
        </w:rPr>
      </w:pPr>
      <w:r>
        <w:rPr>
          <w:rFonts w:hint="eastAsia" w:ascii="宋体" w:hAnsi="宋体" w:cs="宋体"/>
          <w:snapToGrid w:val="0"/>
          <w:color w:val="auto"/>
          <w:kern w:val="0"/>
          <w:szCs w:val="21"/>
          <w:highlight w:val="none"/>
        </w:rPr>
        <w:t>本</w:t>
      </w:r>
      <w:r>
        <w:rPr>
          <w:rFonts w:hint="eastAsia" w:ascii="宋体" w:hAnsi="宋体" w:cs="宋体"/>
          <w:color w:val="auto"/>
          <w:kern w:val="0"/>
          <w:szCs w:val="21"/>
          <w:highlight w:val="none"/>
        </w:rPr>
        <w:t>比选项目</w:t>
      </w:r>
      <w:r>
        <w:rPr>
          <w:rFonts w:hint="eastAsia" w:ascii="宋体" w:hAnsi="宋体" w:cs="宋体"/>
          <w:color w:val="auto"/>
          <w:kern w:val="0"/>
          <w:szCs w:val="21"/>
          <w:highlight w:val="none"/>
          <w:u w:val="single"/>
        </w:rPr>
        <w:t xml:space="preserve"> </w:t>
      </w:r>
      <w:r>
        <w:rPr>
          <w:rFonts w:hint="eastAsia" w:ascii="宋体" w:hAnsi="宋体" w:cs="宋体"/>
          <w:color w:val="auto"/>
          <w:szCs w:val="21"/>
          <w:highlight w:val="none"/>
          <w:u w:val="single"/>
          <w:lang w:eastAsia="zh-CN"/>
        </w:rPr>
        <w:t>重庆市医药卫生学校附属医院广场路面维修改造项目</w:t>
      </w:r>
      <w:r>
        <w:rPr>
          <w:rFonts w:hint="eastAsia" w:ascii="宋体" w:hAnsi="宋体" w:cs="宋体"/>
          <w:color w:val="auto"/>
          <w:szCs w:val="21"/>
          <w:highlight w:val="none"/>
          <w:u w:val="single"/>
        </w:rPr>
        <w:t xml:space="preserve"> </w:t>
      </w:r>
      <w:r>
        <w:rPr>
          <w:rFonts w:hint="eastAsia" w:ascii="宋体" w:hAnsi="宋体" w:cs="宋体"/>
          <w:color w:val="auto"/>
          <w:szCs w:val="21"/>
          <w:highlight w:val="none"/>
        </w:rPr>
        <w:t>比选人为</w:t>
      </w:r>
      <w:r>
        <w:rPr>
          <w:rFonts w:hint="eastAsia" w:ascii="宋体" w:hAnsi="宋体" w:cs="宋体"/>
          <w:color w:val="auto"/>
          <w:szCs w:val="21"/>
          <w:highlight w:val="none"/>
          <w:u w:val="single"/>
          <w:lang w:eastAsia="zh-CN"/>
        </w:rPr>
        <w:t>重庆市医药卫生学校</w:t>
      </w:r>
      <w:r>
        <w:rPr>
          <w:rFonts w:hint="eastAsia" w:ascii="宋体" w:hAnsi="宋体" w:cs="宋体"/>
          <w:color w:val="auto"/>
          <w:szCs w:val="21"/>
          <w:highlight w:val="none"/>
        </w:rPr>
        <w:t>，</w:t>
      </w:r>
      <w:r>
        <w:rPr>
          <w:rFonts w:hint="eastAsia" w:ascii="宋体" w:hAnsi="宋体" w:cs="宋体"/>
          <w:snapToGrid w:val="0"/>
          <w:color w:val="auto"/>
          <w:kern w:val="0"/>
          <w:szCs w:val="21"/>
          <w:highlight w:val="none"/>
        </w:rPr>
        <w:t>本比选项目已具备比选条件，现对该项目进行公开竞争性比选</w:t>
      </w:r>
      <w:r>
        <w:rPr>
          <w:rFonts w:hint="eastAsia" w:ascii="宋体" w:hAnsi="宋体" w:cs="宋体"/>
          <w:color w:val="auto"/>
          <w:kern w:val="0"/>
          <w:szCs w:val="21"/>
          <w:highlight w:val="none"/>
        </w:rPr>
        <w:t>。</w:t>
      </w:r>
    </w:p>
    <w:p w14:paraId="31E76848">
      <w:pPr>
        <w:widowControl/>
        <w:spacing w:line="480" w:lineRule="exact"/>
        <w:outlineLvl w:val="1"/>
        <w:rPr>
          <w:rFonts w:ascii="宋体" w:hAnsi="宋体" w:cs="宋体"/>
          <w:b/>
          <w:color w:val="auto"/>
          <w:kern w:val="0"/>
          <w:sz w:val="28"/>
          <w:szCs w:val="28"/>
          <w:highlight w:val="none"/>
        </w:rPr>
      </w:pPr>
      <w:bookmarkStart w:id="22" w:name="_Toc30855"/>
      <w:bookmarkStart w:id="23" w:name="_Toc3342"/>
      <w:r>
        <w:rPr>
          <w:rFonts w:hint="eastAsia" w:ascii="宋体" w:hAnsi="宋体" w:cs="宋体"/>
          <w:b/>
          <w:color w:val="auto"/>
          <w:kern w:val="0"/>
          <w:sz w:val="28"/>
          <w:szCs w:val="28"/>
          <w:highlight w:val="none"/>
        </w:rPr>
        <w:t>2. 项目概况与比选范围</w:t>
      </w:r>
      <w:bookmarkEnd w:id="22"/>
      <w:bookmarkEnd w:id="23"/>
      <w:r>
        <w:rPr>
          <w:rFonts w:hint="eastAsia" w:ascii="宋体" w:hAnsi="宋体" w:cs="宋体"/>
          <w:b/>
          <w:color w:val="auto"/>
          <w:kern w:val="0"/>
          <w:sz w:val="28"/>
          <w:szCs w:val="28"/>
          <w:highlight w:val="none"/>
        </w:rPr>
        <w:t xml:space="preserve"> </w:t>
      </w:r>
    </w:p>
    <w:p w14:paraId="5501CDE0">
      <w:pPr>
        <w:autoSpaceDE w:val="0"/>
        <w:autoSpaceDN w:val="0"/>
        <w:adjustRightInd w:val="0"/>
        <w:snapToGrid w:val="0"/>
        <w:spacing w:line="480" w:lineRule="exact"/>
        <w:ind w:firstLine="420" w:firstLineChars="200"/>
        <w:jc w:val="left"/>
        <w:rPr>
          <w:rFonts w:ascii="宋体" w:hAnsi="宋体" w:cs="宋体"/>
          <w:bCs/>
          <w:color w:val="auto"/>
          <w:szCs w:val="21"/>
          <w:highlight w:val="none"/>
        </w:rPr>
      </w:pPr>
      <w:r>
        <w:rPr>
          <w:rFonts w:hint="eastAsia" w:ascii="宋体" w:hAnsi="宋体" w:cs="宋体"/>
          <w:bCs/>
          <w:color w:val="auto"/>
          <w:szCs w:val="21"/>
          <w:highlight w:val="none"/>
        </w:rPr>
        <w:t>2.1项目实施地点：</w:t>
      </w:r>
      <w:r>
        <w:rPr>
          <w:rFonts w:hint="eastAsia" w:ascii="宋体" w:hAnsi="宋体" w:cs="宋体"/>
          <w:bCs/>
          <w:color w:val="auto"/>
          <w:szCs w:val="21"/>
          <w:highlight w:val="none"/>
          <w:lang w:eastAsia="zh-CN"/>
        </w:rPr>
        <w:t>重庆市医药卫生学校</w:t>
      </w:r>
      <w:r>
        <w:rPr>
          <w:rFonts w:hint="eastAsia" w:ascii="宋体" w:hAnsi="宋体" w:cs="宋体"/>
          <w:bCs/>
          <w:color w:val="auto"/>
          <w:szCs w:val="21"/>
          <w:highlight w:val="none"/>
        </w:rPr>
        <w:t>。</w:t>
      </w:r>
    </w:p>
    <w:p w14:paraId="56DEFC24">
      <w:pPr>
        <w:autoSpaceDE w:val="0"/>
        <w:autoSpaceDN w:val="0"/>
        <w:adjustRightInd w:val="0"/>
        <w:snapToGrid w:val="0"/>
        <w:spacing w:line="480" w:lineRule="exact"/>
        <w:ind w:firstLine="420" w:firstLineChars="200"/>
        <w:jc w:val="left"/>
        <w:rPr>
          <w:rFonts w:ascii="宋体" w:hAnsi="宋体" w:cs="仿宋"/>
          <w:color w:val="auto"/>
          <w:kern w:val="0"/>
          <w:szCs w:val="21"/>
          <w:highlight w:val="none"/>
        </w:rPr>
      </w:pPr>
      <w:r>
        <w:rPr>
          <w:rFonts w:hint="eastAsia" w:ascii="宋体" w:hAnsi="宋体" w:cs="宋体"/>
          <w:bCs/>
          <w:color w:val="auto"/>
          <w:szCs w:val="21"/>
          <w:highlight w:val="none"/>
        </w:rPr>
        <w:t>2.2项目建设内容及规模</w:t>
      </w:r>
      <w:r>
        <w:rPr>
          <w:rFonts w:hint="eastAsia" w:ascii="宋体" w:hAnsi="宋体" w:cs="宋体"/>
          <w:bCs/>
          <w:color w:val="auto"/>
          <w:szCs w:val="21"/>
          <w:highlight w:val="none"/>
          <w:lang w:eastAsia="zh-CN"/>
        </w:rPr>
        <w:t>：</w:t>
      </w:r>
      <w:r>
        <w:rPr>
          <w:rFonts w:hint="eastAsia" w:ascii="宋体" w:hAnsi="宋体" w:cs="宋体"/>
          <w:bCs/>
          <w:color w:val="auto"/>
          <w:szCs w:val="21"/>
          <w:highlight w:val="none"/>
          <w:lang w:val="en-US" w:eastAsia="zh-CN"/>
        </w:rPr>
        <w:t>广场路面改造，面积约1800m2等，建设投资约17万元。</w:t>
      </w:r>
    </w:p>
    <w:p w14:paraId="2257AF43">
      <w:pPr>
        <w:widowControl/>
        <w:spacing w:line="480" w:lineRule="exact"/>
        <w:ind w:firstLine="420" w:firstLineChars="200"/>
        <w:rPr>
          <w:rFonts w:hint="eastAsia" w:ascii="宋体" w:hAnsi="宋体" w:eastAsia="宋体" w:cs="宋体"/>
          <w:color w:val="auto"/>
          <w:kern w:val="0"/>
          <w:szCs w:val="21"/>
          <w:highlight w:val="none"/>
          <w:lang w:val="en-US" w:eastAsia="zh-CN"/>
        </w:rPr>
      </w:pPr>
      <w:r>
        <w:rPr>
          <w:rFonts w:hint="eastAsia" w:ascii="宋体" w:hAnsi="宋体" w:cs="宋体"/>
          <w:color w:val="auto"/>
          <w:kern w:val="0"/>
          <w:szCs w:val="21"/>
          <w:highlight w:val="none"/>
        </w:rPr>
        <w:t>2.3计划工期：</w:t>
      </w:r>
      <w:r>
        <w:rPr>
          <w:rFonts w:ascii="宋体" w:hAnsi="宋体" w:cs="宋体"/>
          <w:color w:val="auto"/>
          <w:kern w:val="0"/>
          <w:szCs w:val="21"/>
          <w:highlight w:val="none"/>
          <w:u w:val="single"/>
        </w:rPr>
        <w:t xml:space="preserve"> </w:t>
      </w:r>
      <w:r>
        <w:rPr>
          <w:rFonts w:hint="eastAsia" w:ascii="宋体" w:hAnsi="宋体" w:cs="宋体"/>
          <w:color w:val="auto"/>
          <w:kern w:val="0"/>
          <w:szCs w:val="21"/>
          <w:highlight w:val="none"/>
          <w:u w:val="single"/>
          <w:lang w:val="en-US" w:eastAsia="zh-CN"/>
        </w:rPr>
        <w:t>15</w:t>
      </w:r>
      <w:r>
        <w:rPr>
          <w:rFonts w:ascii="宋体" w:hAnsi="宋体" w:cs="宋体"/>
          <w:color w:val="auto"/>
          <w:kern w:val="0"/>
          <w:szCs w:val="21"/>
          <w:highlight w:val="none"/>
          <w:u w:val="single"/>
        </w:rPr>
        <w:t xml:space="preserve"> </w:t>
      </w:r>
      <w:r>
        <w:rPr>
          <w:rFonts w:hint="eastAsia" w:ascii="宋体" w:hAnsi="宋体" w:cs="宋体"/>
          <w:color w:val="auto"/>
          <w:kern w:val="0"/>
          <w:szCs w:val="21"/>
          <w:highlight w:val="none"/>
        </w:rPr>
        <w:t xml:space="preserve"> 日历天</w:t>
      </w:r>
      <w:r>
        <w:rPr>
          <w:rFonts w:hint="eastAsia" w:ascii="宋体" w:hAnsi="宋体" w:cs="宋体"/>
          <w:color w:val="auto"/>
          <w:kern w:val="0"/>
          <w:szCs w:val="21"/>
          <w:highlight w:val="none"/>
          <w:lang w:eastAsia="zh-CN"/>
        </w:rPr>
        <w:t>。</w:t>
      </w:r>
    </w:p>
    <w:p w14:paraId="080F1670">
      <w:pPr>
        <w:widowControl/>
        <w:spacing w:line="480" w:lineRule="exact"/>
        <w:ind w:firstLine="630" w:firstLineChars="300"/>
        <w:rPr>
          <w:rFonts w:ascii="宋体" w:hAnsi="宋体" w:cs="宋体"/>
          <w:color w:val="auto"/>
          <w:kern w:val="0"/>
          <w:szCs w:val="21"/>
          <w:highlight w:val="none"/>
        </w:rPr>
      </w:pPr>
      <w:r>
        <w:rPr>
          <w:rFonts w:hint="eastAsia" w:ascii="宋体" w:hAnsi="宋体" w:cs="宋体"/>
          <w:color w:val="auto"/>
          <w:kern w:val="0"/>
          <w:szCs w:val="21"/>
          <w:highlight w:val="none"/>
        </w:rPr>
        <w:t>缺陷责任期：</w:t>
      </w:r>
      <w:r>
        <w:rPr>
          <w:rFonts w:hint="eastAsia" w:ascii="宋体" w:hAnsi="宋体" w:cs="宋体"/>
          <w:color w:val="auto"/>
          <w:kern w:val="0"/>
          <w:szCs w:val="21"/>
          <w:highlight w:val="none"/>
          <w:lang w:val="en-US" w:eastAsia="zh-CN"/>
        </w:rPr>
        <w:t>24</w:t>
      </w:r>
      <w:r>
        <w:rPr>
          <w:rFonts w:hint="eastAsia" w:ascii="宋体" w:hAnsi="宋体" w:cs="宋体"/>
          <w:color w:val="auto"/>
          <w:kern w:val="0"/>
          <w:szCs w:val="21"/>
          <w:highlight w:val="none"/>
        </w:rPr>
        <w:t>个月。</w:t>
      </w:r>
      <w:r>
        <w:rPr>
          <w:rFonts w:hint="eastAsia" w:ascii="宋体" w:hAnsi="宋体" w:cs="宋体"/>
          <w:color w:val="auto"/>
          <w:kern w:val="0"/>
          <w:szCs w:val="21"/>
          <w:highlight w:val="none"/>
        </w:rPr>
        <w:tab/>
      </w:r>
    </w:p>
    <w:p w14:paraId="2314C911">
      <w:pPr>
        <w:spacing w:line="480" w:lineRule="exact"/>
        <w:ind w:firstLine="420" w:firstLineChars="200"/>
        <w:rPr>
          <w:rFonts w:hint="eastAsia" w:ascii="宋体" w:hAnsi="宋体" w:cs="宋体"/>
          <w:color w:val="auto"/>
          <w:kern w:val="0"/>
          <w:szCs w:val="21"/>
          <w:highlight w:val="none"/>
          <w:lang w:val="en-US" w:eastAsia="zh-CN"/>
        </w:rPr>
      </w:pPr>
      <w:r>
        <w:rPr>
          <w:rFonts w:hint="eastAsia" w:ascii="宋体" w:hAnsi="宋体" w:cs="宋体"/>
          <w:color w:val="auto"/>
          <w:kern w:val="0"/>
          <w:szCs w:val="21"/>
          <w:highlight w:val="none"/>
        </w:rPr>
        <w:t>2.4项目比选范围：</w:t>
      </w:r>
      <w:r>
        <w:rPr>
          <w:rFonts w:hint="eastAsia" w:ascii="宋体" w:hAnsi="宋体" w:cs="宋体"/>
          <w:color w:val="auto"/>
          <w:kern w:val="0"/>
          <w:szCs w:val="21"/>
          <w:highlight w:val="none"/>
          <w:lang w:eastAsia="zh-CN"/>
        </w:rPr>
        <w:t>重庆市医药卫生学校附属医院广场路面维修改造项目</w:t>
      </w:r>
      <w:r>
        <w:rPr>
          <w:rFonts w:hint="eastAsia" w:ascii="宋体" w:hAnsi="宋体" w:cs="宋体"/>
          <w:color w:val="auto"/>
          <w:kern w:val="0"/>
          <w:szCs w:val="21"/>
          <w:highlight w:val="none"/>
          <w:lang w:val="en-US" w:eastAsia="zh-CN"/>
        </w:rPr>
        <w:t>所包含的路面改造部分，具体以招标人提供的工程量清单、答疑资料、澄清资料、其它补遗资料等相关内容为准。</w:t>
      </w:r>
    </w:p>
    <w:p w14:paraId="364E1E1B">
      <w:pPr>
        <w:spacing w:line="480" w:lineRule="exact"/>
        <w:ind w:firstLine="420" w:firstLineChars="200"/>
        <w:rPr>
          <w:rFonts w:ascii="宋体" w:hAnsi="宋体" w:cs="宋体"/>
          <w:color w:val="auto"/>
          <w:szCs w:val="21"/>
          <w:highlight w:val="none"/>
        </w:rPr>
      </w:pPr>
      <w:r>
        <w:rPr>
          <w:rFonts w:hint="eastAsia" w:ascii="宋体" w:hAnsi="宋体" w:cs="宋体"/>
          <w:color w:val="auto"/>
          <w:szCs w:val="21"/>
          <w:highlight w:val="none"/>
        </w:rPr>
        <w:t xml:space="preserve">2.5项目分包情况：本项目不允许分包。 </w:t>
      </w:r>
    </w:p>
    <w:p w14:paraId="6A51AB5F">
      <w:pPr>
        <w:widowControl/>
        <w:spacing w:line="480" w:lineRule="exact"/>
        <w:outlineLvl w:val="1"/>
        <w:rPr>
          <w:rFonts w:ascii="宋体" w:hAnsi="宋体" w:cs="宋体"/>
          <w:b/>
          <w:color w:val="auto"/>
          <w:kern w:val="0"/>
          <w:sz w:val="28"/>
          <w:szCs w:val="28"/>
          <w:highlight w:val="none"/>
        </w:rPr>
      </w:pPr>
      <w:bookmarkStart w:id="24" w:name="_Toc28702"/>
      <w:bookmarkStart w:id="25" w:name="_Toc15764"/>
      <w:r>
        <w:rPr>
          <w:rFonts w:hint="eastAsia" w:ascii="宋体" w:hAnsi="宋体" w:cs="宋体"/>
          <w:b/>
          <w:color w:val="auto"/>
          <w:kern w:val="0"/>
          <w:sz w:val="28"/>
          <w:szCs w:val="28"/>
          <w:highlight w:val="none"/>
        </w:rPr>
        <w:t>3. 竞选人资格要求</w:t>
      </w:r>
      <w:bookmarkEnd w:id="24"/>
      <w:bookmarkEnd w:id="25"/>
      <w:r>
        <w:rPr>
          <w:rFonts w:hint="eastAsia" w:ascii="宋体" w:hAnsi="宋体" w:cs="宋体"/>
          <w:b/>
          <w:color w:val="auto"/>
          <w:kern w:val="0"/>
          <w:sz w:val="28"/>
          <w:szCs w:val="28"/>
          <w:highlight w:val="none"/>
        </w:rPr>
        <w:t xml:space="preserve"> </w:t>
      </w:r>
    </w:p>
    <w:p w14:paraId="52F1E695">
      <w:pPr>
        <w:widowControl/>
        <w:spacing w:line="480" w:lineRule="exact"/>
        <w:ind w:firstLine="420" w:firstLineChars="200"/>
        <w:rPr>
          <w:rFonts w:ascii="宋体" w:hAnsi="宋体" w:cs="宋体"/>
          <w:color w:val="auto"/>
          <w:kern w:val="0"/>
          <w:szCs w:val="21"/>
          <w:highlight w:val="none"/>
        </w:rPr>
      </w:pPr>
      <w:r>
        <w:rPr>
          <w:rFonts w:hint="eastAsia" w:ascii="宋体" w:hAnsi="宋体" w:cs="宋体"/>
          <w:color w:val="auto"/>
          <w:kern w:val="0"/>
          <w:szCs w:val="21"/>
          <w:highlight w:val="none"/>
        </w:rPr>
        <w:t>3.1本次比选实行资格后审，竞选人应满足下列资格条件：</w:t>
      </w:r>
    </w:p>
    <w:p w14:paraId="2A936223">
      <w:pPr>
        <w:widowControl/>
        <w:spacing w:line="480" w:lineRule="exact"/>
        <w:ind w:firstLine="420" w:firstLineChars="200"/>
        <w:rPr>
          <w:rFonts w:hint="eastAsia" w:hAnsi="宋体" w:eastAsia="宋体"/>
          <w:color w:val="auto"/>
          <w:sz w:val="21"/>
          <w:highlight w:val="none"/>
          <w:lang w:val="en-US" w:eastAsia="zh-CN"/>
        </w:rPr>
      </w:pPr>
      <w:r>
        <w:rPr>
          <w:rFonts w:hint="eastAsia" w:ascii="宋体" w:hAnsi="宋体" w:cs="宋体"/>
          <w:color w:val="auto"/>
          <w:kern w:val="0"/>
          <w:szCs w:val="21"/>
          <w:highlight w:val="none"/>
        </w:rPr>
        <w:t>须具备</w:t>
      </w:r>
      <w:r>
        <w:rPr>
          <w:rFonts w:hint="eastAsia" w:ascii="宋体" w:hAnsi="宋体" w:cs="宋体"/>
          <w:color w:val="auto"/>
          <w:szCs w:val="21"/>
          <w:highlight w:val="none"/>
        </w:rPr>
        <w:t>建设行政主管部门颁发</w:t>
      </w:r>
      <w:r>
        <w:rPr>
          <w:rFonts w:hint="eastAsia" w:ascii="宋体" w:hAnsi="宋体" w:cs="宋体"/>
          <w:color w:val="auto"/>
          <w:kern w:val="0"/>
          <w:szCs w:val="21"/>
          <w:highlight w:val="none"/>
          <w:lang w:val="en-US" w:eastAsia="zh-CN"/>
        </w:rPr>
        <w:t>市政施工总承包</w:t>
      </w:r>
      <w:r>
        <w:rPr>
          <w:rFonts w:hint="eastAsia" w:ascii="宋体" w:hAnsi="宋体" w:cs="宋体"/>
          <w:color w:val="auto"/>
          <w:kern w:val="0"/>
          <w:szCs w:val="21"/>
          <w:highlight w:val="none"/>
        </w:rPr>
        <w:t>三级及以上资质；并在人员、设备、资金等方面具备相应的施工能力</w:t>
      </w:r>
      <w:r>
        <w:rPr>
          <w:rFonts w:hint="eastAsia" w:ascii="宋体" w:hAnsi="宋体" w:cs="宋体"/>
          <w:color w:val="auto"/>
          <w:kern w:val="0"/>
          <w:szCs w:val="21"/>
          <w:highlight w:val="none"/>
          <w:lang w:val="en-US" w:eastAsia="zh-CN"/>
        </w:rPr>
        <w:t>.</w:t>
      </w:r>
    </w:p>
    <w:p w14:paraId="0D044780">
      <w:pPr>
        <w:widowControl/>
        <w:spacing w:line="480" w:lineRule="exact"/>
        <w:ind w:firstLine="420" w:firstLineChars="200"/>
        <w:rPr>
          <w:rFonts w:ascii="宋体" w:hAnsi="宋体" w:cs="宋体"/>
          <w:color w:val="auto"/>
          <w:kern w:val="0"/>
          <w:szCs w:val="21"/>
          <w:highlight w:val="none"/>
        </w:rPr>
      </w:pPr>
      <w:r>
        <w:rPr>
          <w:rFonts w:hint="eastAsia" w:ascii="宋体" w:hAnsi="宋体" w:cs="宋体"/>
          <w:color w:val="auto"/>
          <w:kern w:val="0"/>
          <w:szCs w:val="21"/>
          <w:highlight w:val="none"/>
        </w:rPr>
        <w:t>3.2 本次比选不接受联合体投标。</w:t>
      </w:r>
    </w:p>
    <w:p w14:paraId="49D3A165">
      <w:pPr>
        <w:widowControl/>
        <w:spacing w:line="480" w:lineRule="exact"/>
        <w:outlineLvl w:val="1"/>
        <w:rPr>
          <w:rFonts w:ascii="宋体" w:hAnsi="宋体" w:cs="宋体"/>
          <w:b/>
          <w:color w:val="auto"/>
          <w:kern w:val="0"/>
          <w:sz w:val="28"/>
          <w:szCs w:val="28"/>
          <w:highlight w:val="none"/>
        </w:rPr>
      </w:pPr>
      <w:bookmarkStart w:id="26" w:name="_Toc16895"/>
      <w:bookmarkStart w:id="27" w:name="_Toc21766"/>
      <w:r>
        <w:rPr>
          <w:rFonts w:hint="eastAsia" w:ascii="宋体" w:hAnsi="宋体" w:cs="宋体"/>
          <w:b/>
          <w:color w:val="auto"/>
          <w:kern w:val="0"/>
          <w:sz w:val="28"/>
          <w:szCs w:val="28"/>
          <w:highlight w:val="none"/>
        </w:rPr>
        <w:t>4. 比选文件的获取</w:t>
      </w:r>
      <w:bookmarkEnd w:id="26"/>
      <w:bookmarkEnd w:id="27"/>
      <w:r>
        <w:rPr>
          <w:rFonts w:hint="eastAsia" w:ascii="宋体" w:hAnsi="宋体" w:cs="宋体"/>
          <w:b/>
          <w:color w:val="auto"/>
          <w:kern w:val="0"/>
          <w:sz w:val="28"/>
          <w:szCs w:val="28"/>
          <w:highlight w:val="none"/>
        </w:rPr>
        <w:t xml:space="preserve"> </w:t>
      </w:r>
    </w:p>
    <w:p w14:paraId="7FEADFA9">
      <w:pPr>
        <w:spacing w:line="380" w:lineRule="exact"/>
        <w:ind w:firstLine="420" w:firstLineChars="200"/>
        <w:rPr>
          <w:rFonts w:ascii="宋体" w:hAnsi="宋体" w:cs="宋体"/>
          <w:color w:val="auto"/>
          <w:kern w:val="0"/>
          <w:szCs w:val="21"/>
          <w:highlight w:val="none"/>
        </w:rPr>
      </w:pPr>
      <w:r>
        <w:rPr>
          <w:rFonts w:hint="eastAsia" w:ascii="宋体" w:hAnsi="宋体" w:cs="宋体"/>
          <w:color w:val="auto"/>
          <w:kern w:val="0"/>
          <w:szCs w:val="21"/>
          <w:highlight w:val="none"/>
        </w:rPr>
        <w:t>4.1 比选文件</w:t>
      </w:r>
      <w:r>
        <w:rPr>
          <w:rFonts w:hint="eastAsia" w:ascii="宋体" w:hAnsi="宋体" w:cs="宋体"/>
          <w:color w:val="auto"/>
          <w:kern w:val="0"/>
          <w:szCs w:val="21"/>
          <w:highlight w:val="none"/>
          <w:lang w:val="en-US" w:eastAsia="zh-CN"/>
        </w:rPr>
        <w:t>获取</w:t>
      </w:r>
      <w:r>
        <w:rPr>
          <w:rFonts w:hint="eastAsia" w:ascii="宋体" w:hAnsi="宋体" w:cs="宋体"/>
          <w:color w:val="auto"/>
          <w:kern w:val="0"/>
          <w:szCs w:val="21"/>
          <w:highlight w:val="none"/>
        </w:rPr>
        <w:t>期：</w:t>
      </w:r>
      <w:r>
        <w:rPr>
          <w:rFonts w:hint="eastAsia" w:ascii="宋体" w:hAnsi="宋体" w:cs="宋体"/>
          <w:color w:val="auto"/>
          <w:kern w:val="0"/>
          <w:szCs w:val="21"/>
          <w:highlight w:val="none"/>
          <w:lang w:val="en-US" w:eastAsia="zh-CN"/>
        </w:rPr>
        <w:t>公告发布之日起至2025年12月16日</w:t>
      </w:r>
      <w:r>
        <w:rPr>
          <w:rFonts w:hint="eastAsia" w:ascii="宋体" w:hAnsi="宋体" w:cs="宋体"/>
          <w:color w:val="auto"/>
          <w:kern w:val="0"/>
          <w:szCs w:val="21"/>
          <w:highlight w:val="none"/>
        </w:rPr>
        <w:t>17</w:t>
      </w:r>
      <w:r>
        <w:rPr>
          <w:rFonts w:hint="eastAsia" w:ascii="宋体" w:hAnsi="宋体" w:cs="宋体"/>
          <w:color w:val="auto"/>
          <w:kern w:val="0"/>
          <w:szCs w:val="21"/>
          <w:highlight w:val="none"/>
          <w:lang w:eastAsia="zh-CN"/>
        </w:rPr>
        <w:t>：</w:t>
      </w:r>
      <w:r>
        <w:rPr>
          <w:rFonts w:hint="eastAsia" w:ascii="宋体" w:hAnsi="宋体" w:cs="宋体"/>
          <w:color w:val="auto"/>
          <w:kern w:val="0"/>
          <w:szCs w:val="21"/>
          <w:highlight w:val="none"/>
          <w:lang w:val="en-US" w:eastAsia="zh-CN"/>
        </w:rPr>
        <w:t>00前</w:t>
      </w:r>
      <w:r>
        <w:rPr>
          <w:rFonts w:hint="eastAsia" w:ascii="宋体" w:hAnsi="宋体" w:cs="宋体"/>
          <w:color w:val="auto"/>
          <w:kern w:val="0"/>
          <w:szCs w:val="21"/>
          <w:highlight w:val="none"/>
        </w:rPr>
        <w:t>（北京时间，下同）。</w:t>
      </w:r>
    </w:p>
    <w:p w14:paraId="53DFC15E">
      <w:pPr>
        <w:spacing w:line="380" w:lineRule="exact"/>
        <w:ind w:firstLine="420" w:firstLineChars="200"/>
        <w:rPr>
          <w:rFonts w:ascii="宋体" w:hAnsi="宋体" w:cs="宋体"/>
          <w:color w:val="auto"/>
          <w:kern w:val="0"/>
          <w:szCs w:val="21"/>
          <w:highlight w:val="none"/>
        </w:rPr>
      </w:pPr>
      <w:r>
        <w:rPr>
          <w:rFonts w:hint="eastAsia" w:ascii="宋体" w:hAnsi="宋体" w:cs="宋体"/>
          <w:color w:val="auto"/>
          <w:kern w:val="0"/>
          <w:szCs w:val="21"/>
          <w:highlight w:val="none"/>
        </w:rPr>
        <w:t>4.2 获取比选文件的方式：凡有意参加竞选者，请于比选文件</w:t>
      </w:r>
      <w:r>
        <w:rPr>
          <w:rFonts w:hint="eastAsia" w:ascii="宋体" w:hAnsi="宋体" w:cs="宋体"/>
          <w:color w:val="auto"/>
          <w:kern w:val="0"/>
          <w:szCs w:val="21"/>
          <w:highlight w:val="none"/>
          <w:lang w:val="en-US" w:eastAsia="zh-CN"/>
        </w:rPr>
        <w:t>获取</w:t>
      </w:r>
      <w:r>
        <w:rPr>
          <w:rFonts w:hint="eastAsia" w:ascii="宋体" w:hAnsi="宋体" w:cs="宋体"/>
          <w:color w:val="auto"/>
          <w:kern w:val="0"/>
          <w:szCs w:val="21"/>
          <w:highlight w:val="none"/>
        </w:rPr>
        <w:t>期内，</w:t>
      </w:r>
      <w:r>
        <w:rPr>
          <w:rFonts w:hint="eastAsia" w:ascii="宋体" w:hAnsi="宋体" w:cs="宋体"/>
          <w:color w:val="auto"/>
          <w:kern w:val="0"/>
          <w:szCs w:val="21"/>
          <w:highlight w:val="none"/>
          <w:lang w:val="en-US" w:eastAsia="zh-CN"/>
        </w:rPr>
        <w:t>到</w:t>
      </w:r>
      <w:r>
        <w:rPr>
          <w:rFonts w:hint="eastAsia" w:ascii="宋体" w:hAnsi="宋体" w:cs="宋体"/>
          <w:color w:val="auto"/>
          <w:kern w:val="0"/>
          <w:szCs w:val="21"/>
          <w:highlight w:val="none"/>
          <w:lang w:eastAsia="zh-CN"/>
        </w:rPr>
        <w:t>重庆市医药卫生学校</w:t>
      </w:r>
      <w:r>
        <w:rPr>
          <w:rFonts w:hint="eastAsia" w:ascii="宋体" w:hAnsi="宋体" w:cs="宋体"/>
          <w:color w:val="auto"/>
          <w:kern w:val="0"/>
          <w:szCs w:val="21"/>
          <w:highlight w:val="none"/>
          <w:lang w:val="en-US" w:eastAsia="zh-CN"/>
        </w:rPr>
        <w:t>附属医院8楼810办公室</w:t>
      </w:r>
      <w:r>
        <w:rPr>
          <w:rFonts w:hint="eastAsia" w:ascii="宋体" w:hAnsi="宋体" w:cs="宋体"/>
          <w:color w:val="auto"/>
          <w:kern w:val="0"/>
          <w:szCs w:val="21"/>
          <w:highlight w:val="none"/>
        </w:rPr>
        <w:t>报名（</w:t>
      </w:r>
      <w:r>
        <w:rPr>
          <w:rFonts w:hint="eastAsia" w:ascii="宋体" w:hAnsi="宋体" w:cs="仿宋"/>
          <w:bCs/>
          <w:color w:val="auto"/>
          <w:szCs w:val="21"/>
          <w:highlight w:val="none"/>
        </w:rPr>
        <w:t>报名时提供</w:t>
      </w:r>
      <w:r>
        <w:rPr>
          <w:rFonts w:hint="eastAsia" w:ascii="宋体" w:hAnsi="宋体" w:cs="宋体"/>
          <w:color w:val="auto"/>
          <w:kern w:val="0"/>
          <w:szCs w:val="21"/>
          <w:highlight w:val="none"/>
        </w:rPr>
        <w:t>资料【1、单位介绍信或法人授权委托书原件(注明联系人及电话)；2、有效营业执照、资质证书、</w:t>
      </w:r>
      <w:r>
        <w:rPr>
          <w:rFonts w:hint="eastAsia" w:ascii="宋体" w:hAnsi="宋体"/>
          <w:color w:val="auto"/>
          <w:szCs w:val="21"/>
          <w:highlight w:val="none"/>
        </w:rPr>
        <w:t>安全生产许可证</w:t>
      </w:r>
      <w:r>
        <w:rPr>
          <w:rFonts w:hint="eastAsia" w:ascii="宋体" w:hAnsi="宋体" w:cs="宋体"/>
          <w:color w:val="auto"/>
          <w:kern w:val="0"/>
          <w:szCs w:val="21"/>
          <w:highlight w:val="none"/>
        </w:rPr>
        <w:t>的复印件（加盖单位鲜章）】），并自行在</w:t>
      </w:r>
      <w:r>
        <w:rPr>
          <w:rFonts w:hint="eastAsia" w:ascii="宋体" w:hAnsi="宋体" w:cs="宋体"/>
          <w:color w:val="auto"/>
          <w:szCs w:val="21"/>
          <w:highlight w:val="none"/>
          <w:u w:val="single"/>
          <w:lang w:eastAsia="zh-CN"/>
        </w:rPr>
        <w:t>重庆市医药卫生学校</w:t>
      </w:r>
      <w:r>
        <w:rPr>
          <w:rFonts w:hint="eastAsia" w:ascii="宋体" w:hAnsi="宋体" w:cs="宋体"/>
          <w:color w:val="auto"/>
          <w:szCs w:val="21"/>
          <w:highlight w:val="none"/>
          <w:u w:val="single"/>
          <w:lang w:val="en-US" w:eastAsia="zh-CN"/>
        </w:rPr>
        <w:t>官网</w:t>
      </w:r>
      <w:r>
        <w:rPr>
          <w:rFonts w:hint="eastAsia" w:ascii="宋体" w:hAnsi="宋体" w:cs="宋体"/>
          <w:color w:val="auto"/>
          <w:kern w:val="0"/>
          <w:szCs w:val="21"/>
          <w:highlight w:val="yellow"/>
        </w:rPr>
        <w:t>（https://cqsmhs.cn/html/index.html）</w:t>
      </w:r>
      <w:r>
        <w:rPr>
          <w:rFonts w:hint="eastAsia" w:ascii="宋体" w:hAnsi="宋体" w:cs="宋体"/>
          <w:color w:val="auto"/>
          <w:kern w:val="0"/>
          <w:szCs w:val="21"/>
          <w:highlight w:val="none"/>
        </w:rPr>
        <w:t>下载比选文件。</w:t>
      </w:r>
    </w:p>
    <w:p w14:paraId="66660195">
      <w:pPr>
        <w:spacing w:line="380" w:lineRule="exact"/>
        <w:ind w:firstLine="420" w:firstLineChars="200"/>
        <w:rPr>
          <w:rFonts w:ascii="宋体" w:hAnsi="宋体" w:cs="宋体"/>
          <w:color w:val="auto"/>
          <w:kern w:val="0"/>
          <w:szCs w:val="21"/>
          <w:highlight w:val="none"/>
        </w:rPr>
      </w:pPr>
      <w:r>
        <w:rPr>
          <w:rFonts w:hint="eastAsia" w:ascii="宋体" w:hAnsi="宋体" w:cs="宋体"/>
          <w:color w:val="auto"/>
          <w:kern w:val="0"/>
          <w:szCs w:val="21"/>
          <w:highlight w:val="none"/>
        </w:rPr>
        <w:t>4.3 投标人满足以下</w:t>
      </w:r>
      <w:r>
        <w:rPr>
          <w:rFonts w:hint="eastAsia" w:ascii="宋体" w:hAnsi="宋体" w:cs="宋体"/>
          <w:color w:val="auto"/>
          <w:kern w:val="0"/>
          <w:szCs w:val="21"/>
          <w:highlight w:val="none"/>
          <w:lang w:val="en-US" w:eastAsia="zh-CN"/>
        </w:rPr>
        <w:t>2</w:t>
      </w:r>
      <w:r>
        <w:rPr>
          <w:rFonts w:hint="eastAsia" w:ascii="宋体" w:hAnsi="宋体" w:cs="宋体"/>
          <w:color w:val="auto"/>
          <w:kern w:val="0"/>
          <w:szCs w:val="21"/>
          <w:highlight w:val="none"/>
        </w:rPr>
        <w:t>种要</w:t>
      </w:r>
      <w:r>
        <w:rPr>
          <w:rFonts w:hint="eastAsia" w:ascii="宋体" w:hAnsi="宋体" w:cs="宋体"/>
          <w:color w:val="auto"/>
          <w:kern w:val="0"/>
          <w:szCs w:val="21"/>
          <w:highlight w:val="none"/>
          <w:lang w:val="en-US" w:eastAsia="zh-CN"/>
        </w:rPr>
        <w:t>求</w:t>
      </w:r>
      <w:r>
        <w:rPr>
          <w:rFonts w:hint="eastAsia" w:ascii="宋体" w:hAnsi="宋体" w:cs="宋体"/>
          <w:color w:val="auto"/>
          <w:kern w:val="0"/>
          <w:szCs w:val="21"/>
          <w:highlight w:val="none"/>
        </w:rPr>
        <w:t>，其投标文件才被接受：</w:t>
      </w:r>
    </w:p>
    <w:p w14:paraId="16BF3331">
      <w:pPr>
        <w:spacing w:line="380" w:lineRule="exact"/>
        <w:ind w:firstLine="420" w:firstLineChars="200"/>
        <w:rPr>
          <w:rFonts w:ascii="宋体" w:hAnsi="宋体" w:cs="宋体"/>
          <w:color w:val="auto"/>
          <w:kern w:val="0"/>
          <w:szCs w:val="21"/>
          <w:highlight w:val="none"/>
        </w:rPr>
      </w:pPr>
      <w:r>
        <w:rPr>
          <w:rFonts w:hint="eastAsia" w:ascii="宋体" w:hAnsi="宋体" w:cs="宋体"/>
          <w:color w:val="auto"/>
          <w:kern w:val="0"/>
          <w:szCs w:val="21"/>
          <w:highlight w:val="none"/>
        </w:rPr>
        <w:t>①根据比选公告要求的方式按时完成报名；</w:t>
      </w:r>
    </w:p>
    <w:p w14:paraId="67DDA81B">
      <w:pPr>
        <w:spacing w:line="380" w:lineRule="exact"/>
        <w:ind w:firstLine="420" w:firstLineChars="200"/>
        <w:rPr>
          <w:rFonts w:hint="eastAsia" w:ascii="宋体" w:hAnsi="宋体" w:cs="宋体"/>
          <w:color w:val="auto"/>
          <w:kern w:val="0"/>
          <w:szCs w:val="21"/>
          <w:highlight w:val="none"/>
        </w:rPr>
      </w:pPr>
      <w:r>
        <w:rPr>
          <w:rFonts w:hint="eastAsia" w:ascii="宋体" w:hAnsi="宋体" w:cs="宋体"/>
          <w:color w:val="auto"/>
          <w:kern w:val="0"/>
          <w:szCs w:val="21"/>
          <w:highlight w:val="none"/>
        </w:rPr>
        <w:t>②按时递交了投标文件。</w:t>
      </w:r>
    </w:p>
    <w:p w14:paraId="0DFFC0E6">
      <w:pPr>
        <w:spacing w:line="380" w:lineRule="exact"/>
        <w:ind w:firstLine="420" w:firstLineChars="200"/>
        <w:rPr>
          <w:rFonts w:ascii="宋体" w:hAnsi="宋体" w:cs="宋体"/>
          <w:color w:val="auto"/>
          <w:kern w:val="0"/>
          <w:szCs w:val="21"/>
          <w:highlight w:val="none"/>
        </w:rPr>
      </w:pPr>
      <w:r>
        <w:rPr>
          <w:rFonts w:hint="eastAsia" w:ascii="宋体" w:hAnsi="宋体" w:cs="宋体"/>
          <w:color w:val="auto"/>
          <w:kern w:val="0"/>
          <w:szCs w:val="21"/>
          <w:highlight w:val="none"/>
        </w:rPr>
        <w:t>4.4 竞选人对比选文件有异议的，应从本公告发布</w:t>
      </w:r>
      <w:r>
        <w:rPr>
          <w:rFonts w:hint="eastAsia" w:ascii="宋体" w:hAnsi="宋体" w:cs="宋体"/>
          <w:color w:val="auto"/>
          <w:kern w:val="0"/>
          <w:szCs w:val="21"/>
          <w:highlight w:val="none"/>
          <w:lang w:val="en-US" w:eastAsia="zh-CN"/>
        </w:rPr>
        <w:t>之日起</w:t>
      </w:r>
      <w:r>
        <w:rPr>
          <w:rFonts w:hint="eastAsia" w:ascii="宋体" w:hAnsi="宋体" w:cs="宋体"/>
          <w:color w:val="auto"/>
          <w:kern w:val="0"/>
          <w:szCs w:val="21"/>
          <w:highlight w:val="none"/>
        </w:rPr>
        <w:t>至</w:t>
      </w:r>
      <w:r>
        <w:rPr>
          <w:rFonts w:hint="eastAsia" w:ascii="宋体" w:hAnsi="宋体" w:cs="宋体"/>
          <w:color w:val="auto"/>
          <w:kern w:val="0"/>
          <w:szCs w:val="21"/>
          <w:highlight w:val="none"/>
          <w:lang w:eastAsia="zh-CN"/>
        </w:rPr>
        <w:t>2025年</w:t>
      </w:r>
      <w:r>
        <w:rPr>
          <w:rFonts w:hint="eastAsia" w:ascii="宋体" w:hAnsi="宋体" w:cs="宋体"/>
          <w:color w:val="auto"/>
          <w:kern w:val="0"/>
          <w:szCs w:val="21"/>
          <w:highlight w:val="none"/>
          <w:lang w:val="en-US" w:eastAsia="zh-CN"/>
        </w:rPr>
        <w:t>12</w:t>
      </w:r>
      <w:r>
        <w:rPr>
          <w:rFonts w:hint="eastAsia" w:ascii="宋体" w:hAnsi="宋体" w:cs="宋体"/>
          <w:color w:val="auto"/>
          <w:kern w:val="0"/>
          <w:szCs w:val="21"/>
          <w:highlight w:val="none"/>
        </w:rPr>
        <w:t>月</w:t>
      </w:r>
      <w:r>
        <w:rPr>
          <w:rFonts w:hint="eastAsia" w:ascii="宋体" w:hAnsi="宋体" w:cs="宋体"/>
          <w:color w:val="auto"/>
          <w:kern w:val="0"/>
          <w:szCs w:val="21"/>
          <w:highlight w:val="none"/>
          <w:lang w:val="en-US" w:eastAsia="zh-CN"/>
        </w:rPr>
        <w:t>16</w:t>
      </w:r>
      <w:r>
        <w:rPr>
          <w:rFonts w:hint="eastAsia" w:ascii="宋体" w:hAnsi="宋体" w:cs="宋体"/>
          <w:color w:val="auto"/>
          <w:kern w:val="0"/>
          <w:szCs w:val="21"/>
          <w:highlight w:val="none"/>
        </w:rPr>
        <w:t>日12时00分（北京时间）前将异议内容以书面形式通知比选人或其委托的比选代理机构。</w:t>
      </w:r>
    </w:p>
    <w:p w14:paraId="0DEE52AC">
      <w:pPr>
        <w:spacing w:line="380" w:lineRule="exact"/>
        <w:ind w:firstLine="420" w:firstLineChars="200"/>
        <w:rPr>
          <w:rFonts w:ascii="宋体" w:hAnsi="宋体" w:cs="宋体"/>
          <w:color w:val="auto"/>
          <w:kern w:val="0"/>
          <w:szCs w:val="21"/>
          <w:highlight w:val="none"/>
        </w:rPr>
      </w:pPr>
      <w:r>
        <w:rPr>
          <w:rFonts w:hint="eastAsia" w:ascii="宋体" w:hAnsi="宋体" w:cs="宋体"/>
          <w:color w:val="auto"/>
          <w:kern w:val="0"/>
          <w:szCs w:val="21"/>
          <w:highlight w:val="none"/>
        </w:rPr>
        <w:t>4.5 比选人应于</w:t>
      </w:r>
      <w:r>
        <w:rPr>
          <w:rFonts w:hint="eastAsia" w:ascii="宋体" w:hAnsi="宋体" w:cs="宋体"/>
          <w:color w:val="auto"/>
          <w:kern w:val="0"/>
          <w:szCs w:val="21"/>
          <w:highlight w:val="none"/>
          <w:lang w:eastAsia="zh-CN"/>
        </w:rPr>
        <w:t>2025年</w:t>
      </w:r>
      <w:r>
        <w:rPr>
          <w:rFonts w:hint="eastAsia" w:ascii="宋体" w:hAnsi="宋体" w:cs="宋体"/>
          <w:color w:val="auto"/>
          <w:kern w:val="0"/>
          <w:szCs w:val="21"/>
          <w:highlight w:val="none"/>
          <w:lang w:val="en-US" w:eastAsia="zh-CN"/>
        </w:rPr>
        <w:t>12</w:t>
      </w:r>
      <w:r>
        <w:rPr>
          <w:rFonts w:hint="eastAsia" w:ascii="宋体" w:hAnsi="宋体" w:cs="宋体"/>
          <w:color w:val="auto"/>
          <w:kern w:val="0"/>
          <w:szCs w:val="21"/>
          <w:highlight w:val="none"/>
        </w:rPr>
        <w:t>月</w:t>
      </w:r>
      <w:r>
        <w:rPr>
          <w:rFonts w:hint="eastAsia" w:ascii="宋体" w:hAnsi="宋体" w:cs="宋体"/>
          <w:color w:val="auto"/>
          <w:kern w:val="0"/>
          <w:szCs w:val="21"/>
          <w:highlight w:val="none"/>
          <w:lang w:val="en-US" w:eastAsia="zh-CN"/>
        </w:rPr>
        <w:t>16</w:t>
      </w:r>
      <w:r>
        <w:rPr>
          <w:rFonts w:hint="eastAsia" w:ascii="宋体" w:hAnsi="宋体" w:cs="宋体"/>
          <w:color w:val="auto"/>
          <w:kern w:val="0"/>
          <w:szCs w:val="21"/>
          <w:highlight w:val="none"/>
        </w:rPr>
        <w:t>日17时00分（北京时间）前将澄清内容通知所有获取比选文件的竞选人。</w:t>
      </w:r>
    </w:p>
    <w:p w14:paraId="2441783B">
      <w:pPr>
        <w:spacing w:line="480" w:lineRule="exact"/>
        <w:outlineLvl w:val="1"/>
        <w:rPr>
          <w:rFonts w:ascii="宋体" w:hAnsi="宋体" w:cs="宋体"/>
          <w:b/>
          <w:color w:val="auto"/>
          <w:sz w:val="28"/>
          <w:szCs w:val="28"/>
          <w:highlight w:val="none"/>
        </w:rPr>
      </w:pPr>
      <w:bookmarkStart w:id="28" w:name="_Toc8121"/>
      <w:bookmarkStart w:id="29" w:name="_Toc30005"/>
      <w:r>
        <w:rPr>
          <w:rFonts w:hint="eastAsia" w:ascii="宋体" w:hAnsi="宋体" w:cs="宋体"/>
          <w:b/>
          <w:color w:val="auto"/>
          <w:sz w:val="28"/>
          <w:szCs w:val="28"/>
          <w:highlight w:val="none"/>
        </w:rPr>
        <w:t>5．竞选文件的递交</w:t>
      </w:r>
      <w:bookmarkEnd w:id="28"/>
      <w:bookmarkEnd w:id="29"/>
    </w:p>
    <w:p w14:paraId="3F7336D2">
      <w:pPr>
        <w:spacing w:line="480" w:lineRule="exact"/>
        <w:ind w:firstLine="420" w:firstLineChars="200"/>
        <w:outlineLvl w:val="1"/>
        <w:rPr>
          <w:rFonts w:hint="eastAsia" w:ascii="宋体" w:hAnsi="宋体" w:eastAsia="宋体" w:cs="宋体"/>
          <w:bCs/>
          <w:color w:val="auto"/>
          <w:szCs w:val="21"/>
          <w:highlight w:val="none"/>
          <w:lang w:eastAsia="zh-CN"/>
        </w:rPr>
      </w:pPr>
      <w:bookmarkStart w:id="30" w:name="_Toc14443"/>
      <w:bookmarkStart w:id="31" w:name="_Toc32269"/>
      <w:bookmarkStart w:id="32" w:name="_Toc21217"/>
      <w:bookmarkStart w:id="33" w:name="_Toc23153"/>
      <w:r>
        <w:rPr>
          <w:rFonts w:hint="eastAsia" w:ascii="宋体" w:hAnsi="宋体" w:cs="宋体"/>
          <w:bCs/>
          <w:color w:val="auto"/>
          <w:szCs w:val="21"/>
          <w:highlight w:val="none"/>
        </w:rPr>
        <w:t>5.1竞选文件递交的截止时间（竞选截止时间，下同）为：</w:t>
      </w:r>
      <w:r>
        <w:rPr>
          <w:rFonts w:hint="eastAsia" w:ascii="宋体" w:hAnsi="宋体" w:cs="宋体"/>
          <w:bCs/>
          <w:color w:val="auto"/>
          <w:szCs w:val="21"/>
          <w:highlight w:val="none"/>
          <w:lang w:eastAsia="zh-CN"/>
        </w:rPr>
        <w:t>2025年</w:t>
      </w:r>
      <w:r>
        <w:rPr>
          <w:rFonts w:hint="eastAsia" w:ascii="宋体" w:hAnsi="宋体" w:cs="宋体"/>
          <w:bCs/>
          <w:color w:val="auto"/>
          <w:szCs w:val="21"/>
          <w:highlight w:val="none"/>
          <w:lang w:val="en-US" w:eastAsia="zh-CN"/>
        </w:rPr>
        <w:t>12</w:t>
      </w:r>
      <w:r>
        <w:rPr>
          <w:rFonts w:hint="eastAsia" w:ascii="宋体" w:hAnsi="宋体" w:cs="宋体"/>
          <w:bCs/>
          <w:color w:val="auto"/>
          <w:szCs w:val="21"/>
          <w:highlight w:val="none"/>
        </w:rPr>
        <w:t>月</w:t>
      </w:r>
      <w:r>
        <w:rPr>
          <w:rFonts w:hint="eastAsia" w:ascii="宋体" w:hAnsi="宋体" w:cs="宋体"/>
          <w:bCs/>
          <w:color w:val="auto"/>
          <w:szCs w:val="21"/>
          <w:highlight w:val="none"/>
          <w:lang w:val="en-US" w:eastAsia="zh-CN"/>
        </w:rPr>
        <w:t>17</w:t>
      </w:r>
      <w:r>
        <w:rPr>
          <w:rFonts w:hint="eastAsia" w:ascii="宋体" w:hAnsi="宋体" w:cs="宋体"/>
          <w:bCs/>
          <w:color w:val="auto"/>
          <w:szCs w:val="21"/>
          <w:highlight w:val="none"/>
        </w:rPr>
        <w:t>日</w:t>
      </w:r>
      <w:r>
        <w:rPr>
          <w:rFonts w:hint="eastAsia" w:ascii="宋体" w:hAnsi="宋体" w:cs="宋体"/>
          <w:bCs/>
          <w:color w:val="auto"/>
          <w:szCs w:val="21"/>
          <w:highlight w:val="none"/>
          <w:lang w:val="en-US" w:eastAsia="zh-CN"/>
        </w:rPr>
        <w:t>9：00-9:30</w:t>
      </w:r>
      <w:r>
        <w:rPr>
          <w:rFonts w:hint="eastAsia" w:ascii="宋体" w:hAnsi="宋体" w:cs="宋体"/>
          <w:bCs/>
          <w:color w:val="auto"/>
          <w:szCs w:val="21"/>
          <w:highlight w:val="none"/>
        </w:rPr>
        <w:t>分，递交竞选文件地点为：</w:t>
      </w:r>
      <w:r>
        <w:rPr>
          <w:rFonts w:hint="eastAsia" w:ascii="宋体" w:hAnsi="宋体" w:cs="宋体"/>
          <w:bCs/>
          <w:color w:val="auto"/>
          <w:szCs w:val="21"/>
          <w:highlight w:val="none"/>
          <w:lang w:val="en-US" w:eastAsia="zh-CN"/>
        </w:rPr>
        <w:t>重庆市医药卫生学校附属医院10楼1008会议室</w:t>
      </w:r>
      <w:bookmarkEnd w:id="30"/>
      <w:bookmarkEnd w:id="31"/>
      <w:bookmarkEnd w:id="32"/>
      <w:bookmarkEnd w:id="33"/>
    </w:p>
    <w:p w14:paraId="45D6C1E8">
      <w:pPr>
        <w:spacing w:line="480" w:lineRule="exact"/>
        <w:ind w:firstLine="420" w:firstLineChars="200"/>
        <w:outlineLvl w:val="1"/>
        <w:rPr>
          <w:rFonts w:ascii="宋体" w:hAnsi="宋体" w:cs="宋体"/>
          <w:bCs/>
          <w:color w:val="auto"/>
          <w:szCs w:val="21"/>
          <w:highlight w:val="none"/>
        </w:rPr>
      </w:pPr>
      <w:bookmarkStart w:id="34" w:name="_Toc26549"/>
      <w:bookmarkStart w:id="35" w:name="_Toc24845"/>
      <w:bookmarkStart w:id="36" w:name="_Toc22098"/>
      <w:bookmarkStart w:id="37" w:name="_Toc27111"/>
      <w:r>
        <w:rPr>
          <w:rFonts w:hint="eastAsia" w:ascii="宋体" w:hAnsi="宋体" w:cs="宋体"/>
          <w:bCs/>
          <w:color w:val="auto"/>
          <w:szCs w:val="21"/>
          <w:highlight w:val="none"/>
        </w:rPr>
        <w:t>5.2逾期送达的、未送达指定地点的或者不按照竞争性比选文件要求密封的竞选文件，比选人将予以拒收。</w:t>
      </w:r>
      <w:bookmarkEnd w:id="34"/>
      <w:bookmarkEnd w:id="35"/>
      <w:bookmarkEnd w:id="36"/>
      <w:bookmarkEnd w:id="37"/>
    </w:p>
    <w:p w14:paraId="16A20614">
      <w:pPr>
        <w:spacing w:line="480" w:lineRule="exact"/>
        <w:outlineLvl w:val="1"/>
        <w:rPr>
          <w:rFonts w:ascii="宋体" w:hAnsi="宋体" w:cs="宋体"/>
          <w:b/>
          <w:color w:val="auto"/>
          <w:sz w:val="28"/>
          <w:szCs w:val="28"/>
          <w:highlight w:val="none"/>
        </w:rPr>
      </w:pPr>
      <w:bookmarkStart w:id="38" w:name="_Toc4840"/>
      <w:bookmarkStart w:id="39" w:name="_Toc7429"/>
      <w:r>
        <w:rPr>
          <w:rFonts w:hint="eastAsia" w:ascii="宋体" w:hAnsi="宋体" w:cs="宋体"/>
          <w:b/>
          <w:color w:val="auto"/>
          <w:sz w:val="28"/>
          <w:szCs w:val="28"/>
          <w:highlight w:val="none"/>
        </w:rPr>
        <w:t>6．联系方式</w:t>
      </w:r>
      <w:bookmarkEnd w:id="38"/>
      <w:bookmarkEnd w:id="39"/>
    </w:p>
    <w:p w14:paraId="0FB75019">
      <w:pPr>
        <w:spacing w:line="480" w:lineRule="exact"/>
        <w:ind w:firstLine="420" w:firstLineChars="200"/>
        <w:rPr>
          <w:rFonts w:ascii="宋体" w:hAnsi="宋体" w:cs="宋体"/>
          <w:color w:val="auto"/>
          <w:highlight w:val="none"/>
        </w:rPr>
      </w:pPr>
      <w:r>
        <w:rPr>
          <w:rFonts w:hint="eastAsia" w:ascii="宋体" w:hAnsi="宋体" w:cs="宋体"/>
          <w:color w:val="auto"/>
          <w:highlight w:val="none"/>
        </w:rPr>
        <w:t>比选人：</w:t>
      </w:r>
      <w:r>
        <w:rPr>
          <w:rFonts w:hint="eastAsia" w:ascii="宋体" w:hAnsi="宋体" w:cs="宋体"/>
          <w:color w:val="auto"/>
          <w:szCs w:val="21"/>
          <w:highlight w:val="none"/>
          <w:lang w:eastAsia="zh-CN"/>
        </w:rPr>
        <w:t>重庆市医药卫生学校</w:t>
      </w:r>
      <w:r>
        <w:rPr>
          <w:rFonts w:hint="eastAsia" w:ascii="宋体" w:hAnsi="宋体" w:cs="宋体"/>
          <w:color w:val="auto"/>
          <w:highlight w:val="none"/>
        </w:rPr>
        <w:t xml:space="preserve">            </w:t>
      </w:r>
    </w:p>
    <w:p w14:paraId="5AD20E02">
      <w:pPr>
        <w:spacing w:line="480" w:lineRule="exact"/>
        <w:ind w:firstLine="420" w:firstLineChars="200"/>
        <w:rPr>
          <w:rFonts w:ascii="宋体" w:hAnsi="宋体" w:cs="宋体"/>
          <w:color w:val="auto"/>
          <w:highlight w:val="none"/>
        </w:rPr>
      </w:pPr>
      <w:r>
        <w:rPr>
          <w:rFonts w:hint="eastAsia" w:ascii="宋体" w:hAnsi="宋体" w:cs="宋体"/>
          <w:color w:val="auto"/>
          <w:highlight w:val="none"/>
        </w:rPr>
        <w:t>联系人：</w:t>
      </w:r>
      <w:r>
        <w:rPr>
          <w:rFonts w:hint="eastAsia" w:ascii="宋体" w:hAnsi="宋体" w:cs="宋体"/>
          <w:color w:val="auto"/>
          <w:highlight w:val="none"/>
          <w:lang w:val="en-US" w:eastAsia="zh-CN"/>
        </w:rPr>
        <w:t>郭</w:t>
      </w:r>
      <w:r>
        <w:rPr>
          <w:rFonts w:hint="eastAsia" w:ascii="宋体" w:hAnsi="宋体" w:cs="宋体"/>
          <w:color w:val="auto"/>
          <w:highlight w:val="none"/>
        </w:rPr>
        <w:t xml:space="preserve">老师       </w:t>
      </w:r>
      <w:r>
        <w:rPr>
          <w:rFonts w:hint="eastAsia" w:ascii="宋体" w:hAnsi="宋体" w:cs="宋体"/>
          <w:color w:val="auto"/>
          <w:szCs w:val="21"/>
          <w:highlight w:val="none"/>
        </w:rPr>
        <w:t xml:space="preserve">     </w:t>
      </w:r>
      <w:r>
        <w:rPr>
          <w:rFonts w:hint="eastAsia" w:ascii="宋体" w:hAnsi="宋体" w:cs="宋体"/>
          <w:color w:val="auto"/>
          <w:highlight w:val="none"/>
        </w:rPr>
        <w:t xml:space="preserve">                      </w:t>
      </w:r>
    </w:p>
    <w:p w14:paraId="5EEBD7E2">
      <w:pPr>
        <w:spacing w:line="480" w:lineRule="exact"/>
        <w:ind w:firstLine="420" w:firstLineChars="200"/>
        <w:rPr>
          <w:rFonts w:hint="default" w:ascii="宋体" w:hAnsi="宋体" w:cs="宋体"/>
          <w:color w:val="auto"/>
          <w:highlight w:val="none"/>
          <w:lang w:val="en-US"/>
        </w:rPr>
      </w:pPr>
      <w:r>
        <w:rPr>
          <w:rFonts w:hint="eastAsia" w:ascii="宋体" w:hAnsi="宋体" w:cs="宋体"/>
          <w:color w:val="auto"/>
          <w:highlight w:val="none"/>
        </w:rPr>
        <w:t>电  话</w:t>
      </w:r>
      <w:r>
        <w:rPr>
          <w:rFonts w:hint="eastAsia" w:ascii="宋体" w:hAnsi="宋体" w:cs="宋体"/>
          <w:snapToGrid w:val="0"/>
          <w:color w:val="auto"/>
          <w:kern w:val="0"/>
          <w:szCs w:val="21"/>
          <w:highlight w:val="none"/>
        </w:rPr>
        <w:t>：</w:t>
      </w:r>
      <w:r>
        <w:rPr>
          <w:rFonts w:hint="eastAsia" w:ascii="宋体" w:hAnsi="宋体" w:cs="宋体"/>
          <w:snapToGrid w:val="0"/>
          <w:color w:val="auto"/>
          <w:kern w:val="0"/>
          <w:szCs w:val="21"/>
          <w:highlight w:val="none"/>
          <w:lang w:val="en-US" w:eastAsia="zh-CN"/>
        </w:rPr>
        <w:t>13996896618</w:t>
      </w:r>
    </w:p>
    <w:p w14:paraId="4C8CBA06">
      <w:pPr>
        <w:spacing w:line="480" w:lineRule="exact"/>
        <w:ind w:firstLine="420" w:firstLineChars="200"/>
        <w:rPr>
          <w:rFonts w:ascii="宋体" w:hAnsi="宋体" w:cs="宋体"/>
          <w:color w:val="auto"/>
          <w:highlight w:val="none"/>
        </w:rPr>
      </w:pPr>
    </w:p>
    <w:p w14:paraId="51362C72">
      <w:pPr>
        <w:spacing w:line="440" w:lineRule="exact"/>
        <w:rPr>
          <w:rFonts w:ascii="宋体" w:hAnsi="宋体" w:cs="宋体"/>
          <w:color w:val="auto"/>
          <w:kern w:val="0"/>
          <w:highlight w:val="none"/>
        </w:rPr>
      </w:pPr>
    </w:p>
    <w:p w14:paraId="58532C29">
      <w:pPr>
        <w:spacing w:line="440" w:lineRule="exact"/>
        <w:ind w:firstLine="7245" w:firstLineChars="3450"/>
        <w:rPr>
          <w:rFonts w:ascii="宋体" w:hAnsi="宋体" w:cs="宋体"/>
          <w:color w:val="auto"/>
          <w:sz w:val="24"/>
          <w:highlight w:val="none"/>
        </w:rPr>
      </w:pPr>
      <w:r>
        <w:rPr>
          <w:rFonts w:hint="eastAsia" w:ascii="宋体" w:hAnsi="宋体" w:cs="宋体"/>
          <w:color w:val="auto"/>
          <w:kern w:val="0"/>
          <w:highlight w:val="none"/>
          <w:lang w:eastAsia="zh-CN"/>
        </w:rPr>
        <w:t>2025年</w:t>
      </w:r>
      <w:r>
        <w:rPr>
          <w:rFonts w:hint="eastAsia" w:ascii="宋体" w:hAnsi="宋体" w:cs="宋体"/>
          <w:color w:val="auto"/>
          <w:kern w:val="0"/>
          <w:highlight w:val="none"/>
          <w:lang w:val="en-US" w:eastAsia="zh-CN"/>
        </w:rPr>
        <w:t>12</w:t>
      </w:r>
      <w:r>
        <w:rPr>
          <w:rFonts w:hint="eastAsia" w:ascii="宋体" w:hAnsi="宋体" w:cs="宋体"/>
          <w:color w:val="auto"/>
          <w:kern w:val="0"/>
          <w:highlight w:val="none"/>
        </w:rPr>
        <w:t>月</w:t>
      </w:r>
      <w:r>
        <w:rPr>
          <w:rFonts w:hint="eastAsia" w:ascii="宋体" w:hAnsi="宋体" w:cs="宋体"/>
          <w:color w:val="auto"/>
          <w:kern w:val="0"/>
          <w:highlight w:val="none"/>
          <w:lang w:val="en-US" w:eastAsia="zh-CN"/>
        </w:rPr>
        <w:t>12</w:t>
      </w:r>
      <w:r>
        <w:rPr>
          <w:rFonts w:hint="eastAsia" w:ascii="宋体" w:hAnsi="宋体" w:cs="宋体"/>
          <w:color w:val="auto"/>
          <w:kern w:val="0"/>
          <w:highlight w:val="none"/>
        </w:rPr>
        <w:t>日</w:t>
      </w:r>
    </w:p>
    <w:bookmarkEnd w:id="9"/>
    <w:p w14:paraId="0B5E6C97">
      <w:pPr>
        <w:spacing w:line="360" w:lineRule="auto"/>
        <w:jc w:val="center"/>
        <w:outlineLvl w:val="0"/>
        <w:rPr>
          <w:rFonts w:ascii="宋体" w:hAnsi="宋体" w:cs="宋体"/>
          <w:b/>
          <w:color w:val="auto"/>
          <w:sz w:val="44"/>
          <w:szCs w:val="44"/>
          <w:highlight w:val="none"/>
        </w:rPr>
      </w:pPr>
      <w:r>
        <w:rPr>
          <w:rFonts w:hint="eastAsia" w:ascii="宋体" w:hAnsi="宋体" w:cs="宋体"/>
          <w:b/>
          <w:color w:val="auto"/>
          <w:sz w:val="44"/>
          <w:szCs w:val="44"/>
          <w:highlight w:val="none"/>
        </w:rPr>
        <w:br w:type="page"/>
      </w:r>
      <w:bookmarkStart w:id="40" w:name="_Toc4892"/>
      <w:r>
        <w:rPr>
          <w:rFonts w:hint="eastAsia" w:ascii="宋体" w:hAnsi="宋体" w:cs="宋体"/>
          <w:b/>
          <w:color w:val="auto"/>
          <w:sz w:val="44"/>
          <w:szCs w:val="44"/>
          <w:highlight w:val="none"/>
        </w:rPr>
        <w:t xml:space="preserve">第二章  </w:t>
      </w:r>
      <w:r>
        <w:rPr>
          <w:rFonts w:hint="eastAsia" w:ascii="宋体" w:hAnsi="宋体" w:cs="宋体"/>
          <w:b/>
          <w:color w:val="auto"/>
          <w:kern w:val="0"/>
          <w:sz w:val="44"/>
          <w:szCs w:val="44"/>
          <w:highlight w:val="none"/>
        </w:rPr>
        <w:t>竞选人</w:t>
      </w:r>
      <w:r>
        <w:rPr>
          <w:rFonts w:hint="eastAsia" w:ascii="宋体" w:hAnsi="宋体" w:cs="宋体"/>
          <w:b/>
          <w:color w:val="auto"/>
          <w:sz w:val="44"/>
          <w:szCs w:val="44"/>
          <w:highlight w:val="none"/>
        </w:rPr>
        <w:t>须知</w:t>
      </w:r>
      <w:bookmarkEnd w:id="1"/>
      <w:bookmarkEnd w:id="10"/>
      <w:bookmarkEnd w:id="11"/>
      <w:bookmarkEnd w:id="12"/>
      <w:bookmarkEnd w:id="13"/>
      <w:bookmarkEnd w:id="40"/>
      <w:bookmarkStart w:id="41" w:name="A5"/>
    </w:p>
    <w:p w14:paraId="035CBFB2">
      <w:pPr>
        <w:pStyle w:val="4"/>
        <w:ind w:firstLine="136" w:firstLineChars="49"/>
        <w:rPr>
          <w:rFonts w:ascii="宋体" w:hAnsi="宋体" w:eastAsia="宋体" w:cs="宋体"/>
          <w:color w:val="auto"/>
          <w:spacing w:val="0"/>
          <w:szCs w:val="28"/>
          <w:highlight w:val="none"/>
        </w:rPr>
      </w:pPr>
      <w:bookmarkStart w:id="42" w:name="_Toc224103316"/>
      <w:bookmarkStart w:id="43" w:name="_Toc30907"/>
      <w:bookmarkStart w:id="44" w:name="_Toc10904"/>
      <w:bookmarkStart w:id="45" w:name="_Toc4230"/>
      <w:r>
        <w:rPr>
          <w:rFonts w:hint="eastAsia" w:ascii="宋体" w:hAnsi="宋体" w:eastAsia="宋体" w:cs="宋体"/>
          <w:color w:val="auto"/>
          <w:spacing w:val="0"/>
          <w:szCs w:val="28"/>
          <w:highlight w:val="none"/>
        </w:rPr>
        <w:t>竞选人须知前附表</w:t>
      </w:r>
      <w:bookmarkEnd w:id="42"/>
      <w:bookmarkEnd w:id="43"/>
      <w:bookmarkEnd w:id="44"/>
      <w:bookmarkEnd w:id="45"/>
    </w:p>
    <w:p w14:paraId="7D34ADCD">
      <w:pPr>
        <w:spacing w:line="360" w:lineRule="auto"/>
        <w:ind w:firstLine="420" w:firstLineChars="200"/>
        <w:rPr>
          <w:rFonts w:ascii="宋体" w:hAnsi="宋体"/>
          <w:color w:val="auto"/>
          <w:szCs w:val="21"/>
          <w:highlight w:val="none"/>
        </w:rPr>
      </w:pPr>
      <w:r>
        <w:rPr>
          <w:rFonts w:ascii="宋体" w:hAnsi="宋体"/>
          <w:color w:val="auto"/>
          <w:szCs w:val="21"/>
          <w:highlight w:val="none"/>
        </w:rPr>
        <w:t>正文内容不允许修改。若</w:t>
      </w:r>
      <w:r>
        <w:rPr>
          <w:rFonts w:hint="eastAsia" w:ascii="宋体" w:hAnsi="宋体"/>
          <w:color w:val="auto"/>
          <w:szCs w:val="21"/>
          <w:highlight w:val="none"/>
        </w:rPr>
        <w:t>竞选</w:t>
      </w:r>
      <w:r>
        <w:rPr>
          <w:rFonts w:ascii="宋体" w:hAnsi="宋体"/>
          <w:color w:val="auto"/>
          <w:szCs w:val="21"/>
          <w:highlight w:val="none"/>
        </w:rPr>
        <w:t>人须知前附表与正文不一致的地方，以</w:t>
      </w:r>
      <w:r>
        <w:rPr>
          <w:rFonts w:hint="eastAsia" w:ascii="宋体" w:hAnsi="宋体"/>
          <w:color w:val="auto"/>
          <w:szCs w:val="21"/>
          <w:highlight w:val="none"/>
        </w:rPr>
        <w:t>竞选</w:t>
      </w:r>
      <w:r>
        <w:rPr>
          <w:rFonts w:ascii="宋体" w:hAnsi="宋体"/>
          <w:color w:val="auto"/>
          <w:szCs w:val="21"/>
          <w:highlight w:val="none"/>
        </w:rPr>
        <w:t>人须知前附表为准。</w:t>
      </w:r>
    </w:p>
    <w:tbl>
      <w:tblPr>
        <w:tblStyle w:val="48"/>
        <w:tblW w:w="9568"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221"/>
        <w:gridCol w:w="1610"/>
        <w:gridCol w:w="6737"/>
      </w:tblGrid>
      <w:tr w14:paraId="56B1D29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19" w:hRule="atLeast"/>
          <w:tblHeader/>
          <w:jc w:val="center"/>
        </w:trPr>
        <w:tc>
          <w:tcPr>
            <w:tcW w:w="1221" w:type="dxa"/>
            <w:vAlign w:val="center"/>
          </w:tcPr>
          <w:p w14:paraId="57097155">
            <w:pPr>
              <w:snapToGrid w:val="0"/>
              <w:spacing w:line="400" w:lineRule="exact"/>
              <w:jc w:val="center"/>
              <w:rPr>
                <w:rFonts w:ascii="宋体" w:hAnsi="宋体"/>
                <w:b/>
                <w:color w:val="auto"/>
                <w:kern w:val="0"/>
                <w:szCs w:val="21"/>
                <w:highlight w:val="none"/>
              </w:rPr>
            </w:pPr>
            <w:r>
              <w:rPr>
                <w:rFonts w:ascii="宋体" w:hAnsi="宋体"/>
                <w:b/>
                <w:color w:val="auto"/>
                <w:kern w:val="0"/>
                <w:szCs w:val="21"/>
                <w:highlight w:val="none"/>
              </w:rPr>
              <w:t>条 款 号</w:t>
            </w:r>
          </w:p>
        </w:tc>
        <w:tc>
          <w:tcPr>
            <w:tcW w:w="1610" w:type="dxa"/>
            <w:vAlign w:val="center"/>
          </w:tcPr>
          <w:p w14:paraId="1312D51B">
            <w:pPr>
              <w:snapToGrid w:val="0"/>
              <w:spacing w:line="400" w:lineRule="exact"/>
              <w:jc w:val="center"/>
              <w:rPr>
                <w:rFonts w:ascii="宋体" w:hAnsi="宋体"/>
                <w:b/>
                <w:color w:val="auto"/>
                <w:kern w:val="0"/>
                <w:szCs w:val="21"/>
                <w:highlight w:val="none"/>
              </w:rPr>
            </w:pPr>
            <w:r>
              <w:rPr>
                <w:rFonts w:ascii="宋体" w:hAnsi="宋体"/>
                <w:b/>
                <w:color w:val="auto"/>
                <w:kern w:val="0"/>
                <w:szCs w:val="21"/>
                <w:highlight w:val="none"/>
              </w:rPr>
              <w:t>条款名称</w:t>
            </w:r>
          </w:p>
        </w:tc>
        <w:tc>
          <w:tcPr>
            <w:tcW w:w="6737" w:type="dxa"/>
            <w:vAlign w:val="center"/>
          </w:tcPr>
          <w:p w14:paraId="4265DE8E">
            <w:pPr>
              <w:snapToGrid w:val="0"/>
              <w:spacing w:line="400" w:lineRule="exact"/>
              <w:jc w:val="center"/>
              <w:rPr>
                <w:rFonts w:ascii="宋体" w:hAnsi="宋体"/>
                <w:b/>
                <w:color w:val="auto"/>
                <w:kern w:val="0"/>
                <w:szCs w:val="21"/>
                <w:highlight w:val="none"/>
              </w:rPr>
            </w:pPr>
            <w:r>
              <w:rPr>
                <w:rFonts w:ascii="宋体" w:hAnsi="宋体"/>
                <w:b/>
                <w:color w:val="auto"/>
                <w:kern w:val="0"/>
                <w:szCs w:val="21"/>
                <w:highlight w:val="none"/>
              </w:rPr>
              <w:t>编  列  内  容</w:t>
            </w:r>
          </w:p>
        </w:tc>
      </w:tr>
      <w:tr w14:paraId="0DFB514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43" w:hRule="atLeast"/>
          <w:jc w:val="center"/>
        </w:trPr>
        <w:tc>
          <w:tcPr>
            <w:tcW w:w="1221" w:type="dxa"/>
            <w:vAlign w:val="center"/>
          </w:tcPr>
          <w:p w14:paraId="2C36E394">
            <w:pPr>
              <w:snapToGrid w:val="0"/>
              <w:spacing w:line="400" w:lineRule="exact"/>
              <w:jc w:val="center"/>
              <w:rPr>
                <w:rFonts w:ascii="宋体" w:hAnsi="宋体"/>
                <w:color w:val="auto"/>
                <w:kern w:val="0"/>
                <w:szCs w:val="21"/>
                <w:highlight w:val="none"/>
              </w:rPr>
            </w:pPr>
            <w:r>
              <w:rPr>
                <w:rFonts w:ascii="宋体" w:hAnsi="宋体"/>
                <w:color w:val="auto"/>
                <w:kern w:val="0"/>
                <w:szCs w:val="21"/>
                <w:highlight w:val="none"/>
              </w:rPr>
              <w:t>1.1.2</w:t>
            </w:r>
          </w:p>
        </w:tc>
        <w:tc>
          <w:tcPr>
            <w:tcW w:w="1610" w:type="dxa"/>
            <w:vAlign w:val="center"/>
          </w:tcPr>
          <w:p w14:paraId="1106800F">
            <w:pPr>
              <w:snapToGrid w:val="0"/>
              <w:jc w:val="center"/>
              <w:rPr>
                <w:rFonts w:ascii="宋体" w:hAnsi="宋体"/>
                <w:color w:val="auto"/>
                <w:kern w:val="0"/>
                <w:szCs w:val="21"/>
                <w:highlight w:val="none"/>
              </w:rPr>
            </w:pPr>
            <w:r>
              <w:rPr>
                <w:rFonts w:hint="eastAsia" w:ascii="宋体" w:hAnsi="宋体"/>
                <w:color w:val="auto"/>
                <w:kern w:val="0"/>
                <w:szCs w:val="21"/>
                <w:highlight w:val="none"/>
              </w:rPr>
              <w:t>比选人</w:t>
            </w:r>
          </w:p>
        </w:tc>
        <w:tc>
          <w:tcPr>
            <w:tcW w:w="6737" w:type="dxa"/>
            <w:vAlign w:val="center"/>
          </w:tcPr>
          <w:p w14:paraId="118AD338">
            <w:pPr>
              <w:ind w:firstLine="420" w:firstLineChars="200"/>
              <w:rPr>
                <w:rFonts w:hint="eastAsia" w:ascii="宋体" w:hAnsi="宋体" w:eastAsia="宋体"/>
                <w:color w:val="auto"/>
                <w:kern w:val="0"/>
                <w:szCs w:val="21"/>
                <w:highlight w:val="none"/>
                <w:lang w:eastAsia="zh-CN"/>
              </w:rPr>
            </w:pPr>
            <w:r>
              <w:rPr>
                <w:rFonts w:hint="eastAsia" w:ascii="宋体" w:hAnsi="宋体"/>
                <w:color w:val="auto"/>
                <w:kern w:val="0"/>
                <w:szCs w:val="21"/>
                <w:highlight w:val="none"/>
                <w:lang w:eastAsia="zh-CN"/>
              </w:rPr>
              <w:t>重庆市医药卫生学校</w:t>
            </w:r>
          </w:p>
        </w:tc>
      </w:tr>
      <w:tr w14:paraId="36FFB30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27" w:hRule="atLeast"/>
          <w:jc w:val="center"/>
        </w:trPr>
        <w:tc>
          <w:tcPr>
            <w:tcW w:w="1221" w:type="dxa"/>
            <w:vAlign w:val="center"/>
          </w:tcPr>
          <w:p w14:paraId="7B921437">
            <w:pPr>
              <w:snapToGrid w:val="0"/>
              <w:spacing w:line="400" w:lineRule="exact"/>
              <w:jc w:val="center"/>
              <w:rPr>
                <w:rFonts w:ascii="宋体" w:hAnsi="宋体"/>
                <w:color w:val="auto"/>
                <w:kern w:val="0"/>
                <w:szCs w:val="21"/>
                <w:highlight w:val="none"/>
              </w:rPr>
            </w:pPr>
            <w:r>
              <w:rPr>
                <w:rFonts w:ascii="宋体" w:hAnsi="宋体"/>
                <w:color w:val="auto"/>
                <w:kern w:val="0"/>
                <w:szCs w:val="21"/>
                <w:highlight w:val="none"/>
              </w:rPr>
              <w:t>1.1.3</w:t>
            </w:r>
          </w:p>
        </w:tc>
        <w:tc>
          <w:tcPr>
            <w:tcW w:w="1610" w:type="dxa"/>
            <w:vAlign w:val="center"/>
          </w:tcPr>
          <w:p w14:paraId="6533026E">
            <w:pPr>
              <w:snapToGrid w:val="0"/>
              <w:spacing w:line="400" w:lineRule="exact"/>
              <w:rPr>
                <w:rFonts w:ascii="宋体" w:hAnsi="宋体"/>
                <w:color w:val="auto"/>
                <w:kern w:val="0"/>
                <w:szCs w:val="21"/>
                <w:highlight w:val="none"/>
              </w:rPr>
            </w:pPr>
            <w:r>
              <w:rPr>
                <w:rFonts w:ascii="宋体" w:hAnsi="宋体"/>
                <w:color w:val="auto"/>
                <w:kern w:val="0"/>
                <w:szCs w:val="21"/>
                <w:highlight w:val="none"/>
              </w:rPr>
              <w:t>招标代理机构</w:t>
            </w:r>
          </w:p>
        </w:tc>
        <w:tc>
          <w:tcPr>
            <w:tcW w:w="6737" w:type="dxa"/>
            <w:vAlign w:val="center"/>
          </w:tcPr>
          <w:p w14:paraId="5DE1BA8E">
            <w:pPr>
              <w:snapToGrid w:val="0"/>
              <w:ind w:firstLine="420" w:firstLineChars="200"/>
              <w:rPr>
                <w:rFonts w:hint="eastAsia" w:ascii="宋体" w:hAnsi="宋体" w:eastAsia="宋体"/>
                <w:color w:val="auto"/>
                <w:kern w:val="0"/>
                <w:szCs w:val="21"/>
                <w:highlight w:val="none"/>
                <w:lang w:eastAsia="zh-CN"/>
              </w:rPr>
            </w:pPr>
            <w:r>
              <w:rPr>
                <w:rFonts w:hint="eastAsia" w:ascii="宋体" w:hAnsi="宋体" w:cs="宋体"/>
                <w:color w:val="auto"/>
                <w:szCs w:val="21"/>
                <w:highlight w:val="none"/>
                <w:lang w:val="en-US" w:eastAsia="zh-CN"/>
              </w:rPr>
              <w:t>/</w:t>
            </w:r>
          </w:p>
        </w:tc>
      </w:tr>
      <w:tr w14:paraId="2B02FA0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55" w:hRule="atLeast"/>
          <w:jc w:val="center"/>
        </w:trPr>
        <w:tc>
          <w:tcPr>
            <w:tcW w:w="1221" w:type="dxa"/>
            <w:vAlign w:val="center"/>
          </w:tcPr>
          <w:p w14:paraId="129F0085">
            <w:pPr>
              <w:snapToGrid w:val="0"/>
              <w:spacing w:line="400" w:lineRule="exact"/>
              <w:jc w:val="center"/>
              <w:rPr>
                <w:rFonts w:ascii="宋体" w:hAnsi="宋体"/>
                <w:color w:val="auto"/>
                <w:kern w:val="0"/>
                <w:szCs w:val="21"/>
                <w:highlight w:val="none"/>
              </w:rPr>
            </w:pPr>
            <w:r>
              <w:rPr>
                <w:rFonts w:ascii="宋体" w:hAnsi="宋体"/>
                <w:color w:val="auto"/>
                <w:kern w:val="0"/>
                <w:szCs w:val="21"/>
                <w:highlight w:val="none"/>
              </w:rPr>
              <w:t>1.1.4</w:t>
            </w:r>
          </w:p>
        </w:tc>
        <w:tc>
          <w:tcPr>
            <w:tcW w:w="1610" w:type="dxa"/>
            <w:vAlign w:val="center"/>
          </w:tcPr>
          <w:p w14:paraId="0B8C9794">
            <w:pPr>
              <w:snapToGrid w:val="0"/>
              <w:spacing w:line="400" w:lineRule="exact"/>
              <w:jc w:val="center"/>
              <w:rPr>
                <w:rFonts w:ascii="宋体" w:hAnsi="宋体"/>
                <w:color w:val="auto"/>
                <w:kern w:val="0"/>
                <w:szCs w:val="21"/>
                <w:highlight w:val="none"/>
              </w:rPr>
            </w:pPr>
            <w:r>
              <w:rPr>
                <w:rFonts w:ascii="宋体" w:hAnsi="宋体"/>
                <w:color w:val="auto"/>
                <w:kern w:val="0"/>
                <w:szCs w:val="21"/>
                <w:highlight w:val="none"/>
              </w:rPr>
              <w:t>项目名称</w:t>
            </w:r>
          </w:p>
        </w:tc>
        <w:tc>
          <w:tcPr>
            <w:tcW w:w="6737" w:type="dxa"/>
            <w:vAlign w:val="center"/>
          </w:tcPr>
          <w:p w14:paraId="72ED5650">
            <w:pPr>
              <w:spacing w:line="480" w:lineRule="exact"/>
              <w:ind w:firstLine="420" w:firstLineChars="200"/>
              <w:rPr>
                <w:rFonts w:hint="eastAsia" w:ascii="宋体" w:hAnsi="宋体" w:eastAsia="宋体"/>
                <w:color w:val="auto"/>
                <w:szCs w:val="21"/>
                <w:highlight w:val="none"/>
                <w:lang w:eastAsia="zh-CN"/>
              </w:rPr>
            </w:pPr>
            <w:r>
              <w:rPr>
                <w:rFonts w:hint="eastAsia" w:ascii="宋体" w:hAnsi="宋体" w:cs="宋体"/>
                <w:color w:val="auto"/>
                <w:szCs w:val="21"/>
                <w:highlight w:val="none"/>
                <w:u w:val="single"/>
                <w:lang w:eastAsia="zh-CN"/>
              </w:rPr>
              <w:t>重庆市医药卫生学校附属医院广场路面维修改造项目</w:t>
            </w:r>
          </w:p>
        </w:tc>
      </w:tr>
      <w:tr w14:paraId="0756372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14" w:hRule="atLeast"/>
          <w:jc w:val="center"/>
        </w:trPr>
        <w:tc>
          <w:tcPr>
            <w:tcW w:w="1221" w:type="dxa"/>
            <w:vAlign w:val="center"/>
          </w:tcPr>
          <w:p w14:paraId="5B3760FF">
            <w:pPr>
              <w:snapToGrid w:val="0"/>
              <w:spacing w:line="400" w:lineRule="exact"/>
              <w:jc w:val="center"/>
              <w:rPr>
                <w:rFonts w:ascii="宋体" w:hAnsi="宋体"/>
                <w:color w:val="auto"/>
                <w:kern w:val="0"/>
                <w:szCs w:val="21"/>
                <w:highlight w:val="none"/>
              </w:rPr>
            </w:pPr>
            <w:r>
              <w:rPr>
                <w:rFonts w:ascii="宋体" w:hAnsi="宋体"/>
                <w:color w:val="auto"/>
                <w:kern w:val="0"/>
                <w:szCs w:val="21"/>
                <w:highlight w:val="none"/>
              </w:rPr>
              <w:t>1.1.5</w:t>
            </w:r>
          </w:p>
        </w:tc>
        <w:tc>
          <w:tcPr>
            <w:tcW w:w="1610" w:type="dxa"/>
            <w:vAlign w:val="center"/>
          </w:tcPr>
          <w:p w14:paraId="4D2E447A">
            <w:pPr>
              <w:snapToGrid w:val="0"/>
              <w:spacing w:line="400" w:lineRule="exact"/>
              <w:jc w:val="center"/>
              <w:rPr>
                <w:rFonts w:ascii="宋体" w:hAnsi="宋体"/>
                <w:color w:val="auto"/>
                <w:kern w:val="0"/>
                <w:szCs w:val="21"/>
                <w:highlight w:val="none"/>
              </w:rPr>
            </w:pPr>
            <w:r>
              <w:rPr>
                <w:rFonts w:ascii="宋体" w:hAnsi="宋体"/>
                <w:color w:val="auto"/>
                <w:kern w:val="0"/>
                <w:szCs w:val="21"/>
                <w:highlight w:val="none"/>
              </w:rPr>
              <w:t>建设地点</w:t>
            </w:r>
          </w:p>
        </w:tc>
        <w:tc>
          <w:tcPr>
            <w:tcW w:w="6737" w:type="dxa"/>
            <w:vAlign w:val="center"/>
          </w:tcPr>
          <w:p w14:paraId="66C8CB11">
            <w:pPr>
              <w:snapToGrid w:val="0"/>
              <w:spacing w:line="400" w:lineRule="exact"/>
              <w:ind w:firstLine="420" w:firstLineChars="200"/>
              <w:jc w:val="left"/>
              <w:rPr>
                <w:rFonts w:hint="default" w:ascii="宋体" w:hAnsi="宋体"/>
                <w:color w:val="auto"/>
                <w:szCs w:val="21"/>
                <w:highlight w:val="none"/>
                <w:lang w:val="en-US"/>
              </w:rPr>
            </w:pPr>
            <w:r>
              <w:rPr>
                <w:rFonts w:hint="eastAsia" w:ascii="宋体" w:hAnsi="宋体"/>
                <w:color w:val="auto"/>
                <w:kern w:val="0"/>
                <w:szCs w:val="21"/>
                <w:highlight w:val="none"/>
                <w:lang w:eastAsia="zh-CN"/>
              </w:rPr>
              <w:t>重庆市医药卫生学校</w:t>
            </w:r>
            <w:r>
              <w:rPr>
                <w:rFonts w:hint="eastAsia" w:ascii="宋体" w:hAnsi="宋体"/>
                <w:color w:val="auto"/>
                <w:kern w:val="0"/>
                <w:szCs w:val="21"/>
                <w:highlight w:val="none"/>
                <w:lang w:val="en-US" w:eastAsia="zh-CN"/>
              </w:rPr>
              <w:t>校内</w:t>
            </w:r>
          </w:p>
        </w:tc>
      </w:tr>
      <w:tr w14:paraId="7B5C5AA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05" w:hRule="atLeast"/>
          <w:jc w:val="center"/>
        </w:trPr>
        <w:tc>
          <w:tcPr>
            <w:tcW w:w="1221" w:type="dxa"/>
            <w:vAlign w:val="center"/>
          </w:tcPr>
          <w:p w14:paraId="1FEF1040">
            <w:pPr>
              <w:snapToGrid w:val="0"/>
              <w:spacing w:line="400" w:lineRule="exact"/>
              <w:jc w:val="center"/>
              <w:rPr>
                <w:rFonts w:ascii="宋体" w:hAnsi="宋体"/>
                <w:color w:val="auto"/>
                <w:kern w:val="0"/>
                <w:szCs w:val="21"/>
                <w:highlight w:val="none"/>
              </w:rPr>
            </w:pPr>
            <w:r>
              <w:rPr>
                <w:rFonts w:ascii="宋体" w:hAnsi="宋体"/>
                <w:color w:val="auto"/>
                <w:kern w:val="0"/>
                <w:szCs w:val="21"/>
                <w:highlight w:val="none"/>
              </w:rPr>
              <w:t>1.1.6</w:t>
            </w:r>
          </w:p>
        </w:tc>
        <w:tc>
          <w:tcPr>
            <w:tcW w:w="1610" w:type="dxa"/>
            <w:vAlign w:val="center"/>
          </w:tcPr>
          <w:p w14:paraId="3579DFB5">
            <w:pPr>
              <w:snapToGrid w:val="0"/>
              <w:spacing w:line="400" w:lineRule="exact"/>
              <w:jc w:val="center"/>
              <w:rPr>
                <w:rFonts w:ascii="宋体" w:hAnsi="宋体"/>
                <w:color w:val="auto"/>
                <w:kern w:val="0"/>
                <w:szCs w:val="21"/>
                <w:highlight w:val="none"/>
              </w:rPr>
            </w:pPr>
            <w:r>
              <w:rPr>
                <w:rFonts w:ascii="宋体" w:hAnsi="宋体"/>
                <w:color w:val="auto"/>
                <w:kern w:val="0"/>
                <w:szCs w:val="21"/>
                <w:highlight w:val="none"/>
              </w:rPr>
              <w:t>建设规模</w:t>
            </w:r>
          </w:p>
        </w:tc>
        <w:tc>
          <w:tcPr>
            <w:tcW w:w="6737" w:type="dxa"/>
            <w:vAlign w:val="center"/>
          </w:tcPr>
          <w:p w14:paraId="0B044F2E">
            <w:pPr>
              <w:autoSpaceDE w:val="0"/>
              <w:autoSpaceDN w:val="0"/>
              <w:adjustRightInd w:val="0"/>
              <w:snapToGrid w:val="0"/>
              <w:spacing w:line="480" w:lineRule="exact"/>
              <w:ind w:firstLine="420" w:firstLineChars="200"/>
              <w:jc w:val="left"/>
              <w:rPr>
                <w:rFonts w:hint="default" w:ascii="宋体" w:hAnsi="宋体"/>
                <w:i/>
                <w:snapToGrid w:val="0"/>
                <w:color w:val="auto"/>
                <w:kern w:val="0"/>
                <w:szCs w:val="21"/>
                <w:highlight w:val="none"/>
                <w:lang w:val="en-US"/>
              </w:rPr>
            </w:pPr>
            <w:r>
              <w:rPr>
                <w:rFonts w:hint="eastAsia" w:ascii="宋体" w:hAnsi="宋体" w:cs="宋体"/>
                <w:bCs/>
                <w:color w:val="auto"/>
                <w:szCs w:val="21"/>
                <w:highlight w:val="none"/>
                <w:lang w:val="en-US" w:eastAsia="zh-CN"/>
              </w:rPr>
              <w:t>广场路面改造，面积约1800m2等，建设投资约17万元。</w:t>
            </w:r>
          </w:p>
        </w:tc>
      </w:tr>
      <w:tr w14:paraId="491F7EB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30" w:hRule="atLeast"/>
          <w:jc w:val="center"/>
        </w:trPr>
        <w:tc>
          <w:tcPr>
            <w:tcW w:w="1221" w:type="dxa"/>
            <w:vAlign w:val="center"/>
          </w:tcPr>
          <w:p w14:paraId="0C37768B">
            <w:pPr>
              <w:snapToGrid w:val="0"/>
              <w:spacing w:line="400" w:lineRule="exact"/>
              <w:jc w:val="center"/>
              <w:rPr>
                <w:rFonts w:ascii="宋体" w:hAnsi="宋体"/>
                <w:color w:val="auto"/>
                <w:kern w:val="0"/>
                <w:szCs w:val="21"/>
                <w:highlight w:val="none"/>
              </w:rPr>
            </w:pPr>
            <w:r>
              <w:rPr>
                <w:rFonts w:hint="eastAsia" w:ascii="宋体" w:hAnsi="宋体"/>
                <w:color w:val="auto"/>
                <w:kern w:val="0"/>
                <w:szCs w:val="21"/>
                <w:highlight w:val="none"/>
              </w:rPr>
              <w:t>1.3.1</w:t>
            </w:r>
          </w:p>
        </w:tc>
        <w:tc>
          <w:tcPr>
            <w:tcW w:w="1610" w:type="dxa"/>
            <w:vAlign w:val="center"/>
          </w:tcPr>
          <w:p w14:paraId="141B570A">
            <w:pPr>
              <w:snapToGrid w:val="0"/>
              <w:spacing w:line="400" w:lineRule="exact"/>
              <w:jc w:val="center"/>
              <w:rPr>
                <w:rFonts w:ascii="宋体" w:hAnsi="宋体"/>
                <w:color w:val="auto"/>
                <w:kern w:val="0"/>
                <w:szCs w:val="21"/>
                <w:highlight w:val="none"/>
              </w:rPr>
            </w:pPr>
            <w:r>
              <w:rPr>
                <w:rFonts w:hint="eastAsia" w:ascii="宋体" w:hAnsi="宋体"/>
                <w:color w:val="auto"/>
                <w:kern w:val="0"/>
                <w:szCs w:val="21"/>
                <w:highlight w:val="none"/>
              </w:rPr>
              <w:t>比选</w:t>
            </w:r>
            <w:r>
              <w:rPr>
                <w:rFonts w:ascii="宋体" w:hAnsi="宋体"/>
                <w:color w:val="auto"/>
                <w:kern w:val="0"/>
                <w:szCs w:val="21"/>
                <w:highlight w:val="none"/>
              </w:rPr>
              <w:t>范围</w:t>
            </w:r>
          </w:p>
        </w:tc>
        <w:tc>
          <w:tcPr>
            <w:tcW w:w="6737" w:type="dxa"/>
            <w:vAlign w:val="center"/>
          </w:tcPr>
          <w:p w14:paraId="5B77D54C">
            <w:pPr>
              <w:spacing w:line="480" w:lineRule="exact"/>
              <w:ind w:firstLine="420" w:firstLineChars="200"/>
              <w:rPr>
                <w:rFonts w:hint="default" w:ascii="宋体" w:hAnsi="宋体" w:eastAsia="宋体"/>
                <w:i/>
                <w:color w:val="auto"/>
                <w:szCs w:val="21"/>
                <w:highlight w:val="none"/>
                <w:lang w:val="en-US" w:eastAsia="zh-CN"/>
              </w:rPr>
            </w:pPr>
            <w:r>
              <w:rPr>
                <w:rFonts w:hint="eastAsia" w:ascii="宋体" w:hAnsi="宋体" w:cs="宋体"/>
                <w:color w:val="auto"/>
                <w:kern w:val="0"/>
                <w:szCs w:val="21"/>
                <w:highlight w:val="none"/>
                <w:lang w:eastAsia="zh-CN"/>
              </w:rPr>
              <w:t>重庆市医药卫生学校附属医院广场路面维修改造项目</w:t>
            </w:r>
            <w:r>
              <w:rPr>
                <w:rFonts w:hint="eastAsia" w:ascii="宋体" w:hAnsi="宋体" w:cs="宋体"/>
                <w:color w:val="auto"/>
                <w:kern w:val="0"/>
                <w:szCs w:val="21"/>
                <w:highlight w:val="none"/>
                <w:lang w:val="en-US" w:eastAsia="zh-CN"/>
              </w:rPr>
              <w:t>所包含的路面改造部分，具体以招标人提供的工程量清单、答疑资料、澄清资料、其它补遗资料等相关内容为准</w:t>
            </w:r>
            <w:r>
              <w:rPr>
                <w:rFonts w:hint="eastAsia" w:ascii="宋体" w:hAnsi="宋体"/>
                <w:iCs/>
                <w:color w:val="auto"/>
                <w:szCs w:val="21"/>
                <w:highlight w:val="none"/>
                <w:lang w:val="en-US" w:eastAsia="zh-CN"/>
              </w:rPr>
              <w:t xml:space="preserve">                                </w:t>
            </w:r>
          </w:p>
        </w:tc>
      </w:tr>
      <w:tr w14:paraId="0C5FF3B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11" w:hRule="atLeast"/>
          <w:jc w:val="center"/>
        </w:trPr>
        <w:tc>
          <w:tcPr>
            <w:tcW w:w="1221" w:type="dxa"/>
            <w:vAlign w:val="center"/>
          </w:tcPr>
          <w:p w14:paraId="3FED77CE">
            <w:pPr>
              <w:snapToGrid w:val="0"/>
              <w:spacing w:line="400" w:lineRule="exact"/>
              <w:jc w:val="center"/>
              <w:rPr>
                <w:rFonts w:ascii="宋体" w:hAnsi="宋体"/>
                <w:color w:val="auto"/>
                <w:kern w:val="0"/>
                <w:szCs w:val="21"/>
                <w:highlight w:val="none"/>
              </w:rPr>
            </w:pPr>
            <w:r>
              <w:rPr>
                <w:rFonts w:ascii="宋体" w:hAnsi="宋体"/>
                <w:color w:val="auto"/>
                <w:kern w:val="0"/>
                <w:szCs w:val="21"/>
                <w:highlight w:val="none"/>
              </w:rPr>
              <w:t>1.3.2</w:t>
            </w:r>
          </w:p>
        </w:tc>
        <w:tc>
          <w:tcPr>
            <w:tcW w:w="1610" w:type="dxa"/>
            <w:vAlign w:val="center"/>
          </w:tcPr>
          <w:p w14:paraId="37B787C3">
            <w:pPr>
              <w:snapToGrid w:val="0"/>
              <w:spacing w:line="400" w:lineRule="exact"/>
              <w:jc w:val="center"/>
              <w:rPr>
                <w:rFonts w:ascii="宋体" w:hAnsi="宋体"/>
                <w:color w:val="auto"/>
                <w:kern w:val="0"/>
                <w:szCs w:val="21"/>
                <w:highlight w:val="none"/>
              </w:rPr>
            </w:pPr>
            <w:r>
              <w:rPr>
                <w:rFonts w:ascii="宋体" w:hAnsi="宋体"/>
                <w:color w:val="auto"/>
                <w:kern w:val="0"/>
                <w:szCs w:val="21"/>
                <w:highlight w:val="none"/>
              </w:rPr>
              <w:t>计划工期</w:t>
            </w:r>
          </w:p>
        </w:tc>
        <w:tc>
          <w:tcPr>
            <w:tcW w:w="6737" w:type="dxa"/>
            <w:vAlign w:val="center"/>
          </w:tcPr>
          <w:p w14:paraId="71A50242">
            <w:pPr>
              <w:widowControl/>
              <w:spacing w:line="480" w:lineRule="exact"/>
              <w:ind w:firstLine="420" w:firstLineChars="200"/>
              <w:rPr>
                <w:rFonts w:hint="default" w:ascii="宋体" w:hAnsi="宋体" w:eastAsia="宋体" w:cs="宋体"/>
                <w:color w:val="auto"/>
                <w:kern w:val="0"/>
                <w:szCs w:val="21"/>
                <w:highlight w:val="none"/>
                <w:lang w:val="en-US" w:eastAsia="zh-CN"/>
              </w:rPr>
            </w:pPr>
            <w:r>
              <w:rPr>
                <w:rFonts w:hint="eastAsia" w:ascii="宋体" w:hAnsi="宋体" w:cs="宋体"/>
                <w:color w:val="auto"/>
                <w:kern w:val="0"/>
                <w:szCs w:val="21"/>
                <w:highlight w:val="none"/>
              </w:rPr>
              <w:t>计划工期：</w:t>
            </w:r>
            <w:r>
              <w:rPr>
                <w:rFonts w:ascii="宋体" w:hAnsi="宋体" w:cs="宋体"/>
                <w:color w:val="auto"/>
                <w:kern w:val="0"/>
                <w:szCs w:val="21"/>
                <w:highlight w:val="none"/>
                <w:u w:val="single"/>
              </w:rPr>
              <w:t xml:space="preserve"> </w:t>
            </w:r>
            <w:r>
              <w:rPr>
                <w:rFonts w:hint="eastAsia" w:ascii="宋体" w:hAnsi="宋体" w:cs="宋体"/>
                <w:color w:val="auto"/>
                <w:kern w:val="0"/>
                <w:szCs w:val="21"/>
                <w:highlight w:val="none"/>
                <w:u w:val="single"/>
                <w:lang w:val="en-US" w:eastAsia="zh-CN"/>
              </w:rPr>
              <w:t>15</w:t>
            </w:r>
            <w:r>
              <w:rPr>
                <w:rFonts w:hint="eastAsia" w:ascii="宋体" w:hAnsi="宋体" w:cs="宋体"/>
                <w:color w:val="auto"/>
                <w:kern w:val="0"/>
                <w:szCs w:val="21"/>
                <w:highlight w:val="none"/>
              </w:rPr>
              <w:t xml:space="preserve"> 日历天，缺陷责任期</w:t>
            </w:r>
            <w:r>
              <w:rPr>
                <w:rFonts w:hint="eastAsia" w:ascii="宋体" w:hAnsi="宋体" w:cs="宋体"/>
                <w:color w:val="auto"/>
                <w:kern w:val="0"/>
                <w:szCs w:val="21"/>
                <w:highlight w:val="none"/>
                <w:lang w:eastAsia="zh-CN"/>
              </w:rPr>
              <w:t>：</w:t>
            </w:r>
            <w:r>
              <w:rPr>
                <w:rFonts w:hint="eastAsia" w:ascii="宋体" w:hAnsi="宋体" w:cs="宋体"/>
                <w:color w:val="auto"/>
                <w:kern w:val="0"/>
                <w:szCs w:val="21"/>
                <w:highlight w:val="none"/>
                <w:lang w:val="en-US" w:eastAsia="zh-CN"/>
              </w:rPr>
              <w:t>24</w:t>
            </w:r>
            <w:r>
              <w:rPr>
                <w:rFonts w:hint="eastAsia" w:ascii="宋体" w:hAnsi="宋体" w:cs="宋体"/>
                <w:color w:val="auto"/>
                <w:kern w:val="0"/>
                <w:szCs w:val="21"/>
                <w:highlight w:val="none"/>
              </w:rPr>
              <w:t>个月。</w:t>
            </w:r>
            <w:r>
              <w:rPr>
                <w:rFonts w:hint="eastAsia" w:ascii="宋体" w:hAnsi="宋体" w:cs="宋体"/>
                <w:color w:val="auto"/>
                <w:kern w:val="0"/>
                <w:szCs w:val="21"/>
                <w:highlight w:val="none"/>
                <w:lang w:val="en-US" w:eastAsia="zh-CN"/>
              </w:rPr>
              <w:t xml:space="preserve">                                          </w:t>
            </w:r>
          </w:p>
        </w:tc>
      </w:tr>
      <w:tr w14:paraId="4C3325A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22" w:hRule="atLeast"/>
          <w:jc w:val="center"/>
        </w:trPr>
        <w:tc>
          <w:tcPr>
            <w:tcW w:w="1221" w:type="dxa"/>
            <w:vAlign w:val="center"/>
          </w:tcPr>
          <w:p w14:paraId="69D4AD0B">
            <w:pPr>
              <w:snapToGrid w:val="0"/>
              <w:spacing w:line="400" w:lineRule="exact"/>
              <w:jc w:val="center"/>
              <w:rPr>
                <w:rFonts w:ascii="宋体" w:hAnsi="宋体"/>
                <w:color w:val="auto"/>
                <w:kern w:val="0"/>
                <w:szCs w:val="21"/>
                <w:highlight w:val="none"/>
              </w:rPr>
            </w:pPr>
            <w:r>
              <w:rPr>
                <w:rFonts w:ascii="宋体" w:hAnsi="宋体"/>
                <w:color w:val="auto"/>
                <w:kern w:val="0"/>
                <w:szCs w:val="21"/>
                <w:highlight w:val="none"/>
              </w:rPr>
              <w:t>1.3.3</w:t>
            </w:r>
          </w:p>
        </w:tc>
        <w:tc>
          <w:tcPr>
            <w:tcW w:w="1610" w:type="dxa"/>
            <w:vAlign w:val="center"/>
          </w:tcPr>
          <w:p w14:paraId="0B2B9D65">
            <w:pPr>
              <w:snapToGrid w:val="0"/>
              <w:spacing w:line="400" w:lineRule="exact"/>
              <w:jc w:val="center"/>
              <w:rPr>
                <w:rFonts w:ascii="宋体" w:hAnsi="宋体"/>
                <w:color w:val="auto"/>
                <w:kern w:val="0"/>
                <w:szCs w:val="21"/>
                <w:highlight w:val="none"/>
              </w:rPr>
            </w:pPr>
            <w:r>
              <w:rPr>
                <w:rFonts w:ascii="宋体" w:hAnsi="宋体"/>
                <w:color w:val="auto"/>
                <w:kern w:val="0"/>
                <w:szCs w:val="21"/>
                <w:highlight w:val="none"/>
              </w:rPr>
              <w:t>质量要求</w:t>
            </w:r>
          </w:p>
        </w:tc>
        <w:tc>
          <w:tcPr>
            <w:tcW w:w="6737" w:type="dxa"/>
            <w:vAlign w:val="center"/>
          </w:tcPr>
          <w:p w14:paraId="703F8EB0">
            <w:pPr>
              <w:snapToGrid w:val="0"/>
              <w:spacing w:line="400" w:lineRule="exact"/>
              <w:rPr>
                <w:rFonts w:hint="default" w:ascii="宋体" w:hAnsi="宋体" w:eastAsia="宋体"/>
                <w:color w:val="auto"/>
                <w:szCs w:val="21"/>
                <w:highlight w:val="none"/>
                <w:lang w:val="en-US" w:eastAsia="zh-CN"/>
              </w:rPr>
            </w:pPr>
            <w:r>
              <w:rPr>
                <w:rFonts w:hint="eastAsia" w:ascii="宋体" w:hAnsi="宋体" w:cs="宋体"/>
                <w:color w:val="auto"/>
                <w:szCs w:val="21"/>
                <w:highlight w:val="none"/>
              </w:rPr>
              <w:t>达到国家和重庆市现行有关施工质量验收规范要求，并达到合格标准。</w:t>
            </w:r>
            <w:r>
              <w:rPr>
                <w:rFonts w:hint="eastAsia" w:ascii="宋体" w:hAnsi="宋体" w:cs="宋体"/>
                <w:color w:val="auto"/>
                <w:szCs w:val="21"/>
                <w:highlight w:val="none"/>
                <w:lang w:val="en-US" w:eastAsia="zh-CN"/>
              </w:rPr>
              <w:t xml:space="preserve">     </w:t>
            </w:r>
          </w:p>
        </w:tc>
      </w:tr>
      <w:tr w14:paraId="5752B20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1221" w:type="dxa"/>
            <w:vAlign w:val="center"/>
          </w:tcPr>
          <w:p w14:paraId="5C887D04">
            <w:pPr>
              <w:snapToGrid w:val="0"/>
              <w:spacing w:line="400" w:lineRule="exact"/>
              <w:jc w:val="center"/>
              <w:rPr>
                <w:rFonts w:ascii="宋体" w:hAnsi="宋体"/>
                <w:color w:val="auto"/>
                <w:kern w:val="0"/>
                <w:szCs w:val="21"/>
                <w:highlight w:val="none"/>
              </w:rPr>
            </w:pPr>
            <w:r>
              <w:rPr>
                <w:rFonts w:ascii="宋体" w:hAnsi="宋体"/>
                <w:color w:val="auto"/>
                <w:kern w:val="0"/>
                <w:szCs w:val="21"/>
                <w:highlight w:val="none"/>
              </w:rPr>
              <w:t>1.3.</w:t>
            </w:r>
            <w:r>
              <w:rPr>
                <w:rFonts w:hint="eastAsia" w:ascii="宋体" w:hAnsi="宋体"/>
                <w:color w:val="auto"/>
                <w:kern w:val="0"/>
                <w:szCs w:val="21"/>
                <w:highlight w:val="none"/>
              </w:rPr>
              <w:t>4</w:t>
            </w:r>
          </w:p>
        </w:tc>
        <w:tc>
          <w:tcPr>
            <w:tcW w:w="1610" w:type="dxa"/>
            <w:vAlign w:val="center"/>
          </w:tcPr>
          <w:p w14:paraId="31D48570">
            <w:pPr>
              <w:snapToGrid w:val="0"/>
              <w:spacing w:line="400" w:lineRule="exact"/>
              <w:jc w:val="center"/>
              <w:rPr>
                <w:rFonts w:ascii="宋体" w:hAnsi="宋体"/>
                <w:color w:val="auto"/>
                <w:kern w:val="0"/>
                <w:szCs w:val="21"/>
                <w:highlight w:val="none"/>
              </w:rPr>
            </w:pPr>
            <w:r>
              <w:rPr>
                <w:rFonts w:hint="eastAsia" w:ascii="宋体" w:hAnsi="宋体"/>
                <w:color w:val="auto"/>
                <w:kern w:val="0"/>
                <w:szCs w:val="21"/>
                <w:highlight w:val="none"/>
              </w:rPr>
              <w:t>安全要求</w:t>
            </w:r>
          </w:p>
        </w:tc>
        <w:tc>
          <w:tcPr>
            <w:tcW w:w="6737" w:type="dxa"/>
            <w:vAlign w:val="center"/>
          </w:tcPr>
          <w:p w14:paraId="16C9DADD">
            <w:pPr>
              <w:autoSpaceDE w:val="0"/>
              <w:autoSpaceDN w:val="0"/>
              <w:adjustRightInd w:val="0"/>
              <w:snapToGrid w:val="0"/>
              <w:spacing w:line="360" w:lineRule="exact"/>
              <w:ind w:firstLine="420" w:firstLineChars="200"/>
              <w:rPr>
                <w:rFonts w:ascii="宋体" w:hAnsi="宋体"/>
                <w:color w:val="auto"/>
                <w:szCs w:val="21"/>
                <w:highlight w:val="none"/>
              </w:rPr>
            </w:pPr>
            <w:r>
              <w:rPr>
                <w:rFonts w:hint="eastAsia" w:ascii="宋体" w:hAnsi="宋体"/>
                <w:color w:val="auto"/>
                <w:szCs w:val="21"/>
                <w:highlight w:val="none"/>
              </w:rPr>
              <w:t>1、危大工程清单：无 。</w:t>
            </w:r>
          </w:p>
          <w:p w14:paraId="338942D3">
            <w:pPr>
              <w:autoSpaceDE w:val="0"/>
              <w:autoSpaceDN w:val="0"/>
              <w:adjustRightInd w:val="0"/>
              <w:snapToGrid w:val="0"/>
              <w:spacing w:line="360" w:lineRule="exact"/>
              <w:ind w:firstLine="420" w:firstLineChars="200"/>
              <w:rPr>
                <w:rFonts w:ascii="宋体" w:hAnsi="宋体"/>
                <w:color w:val="auto"/>
                <w:szCs w:val="21"/>
                <w:highlight w:val="none"/>
              </w:rPr>
            </w:pPr>
            <w:r>
              <w:rPr>
                <w:rFonts w:hint="eastAsia" w:ascii="宋体" w:hAnsi="宋体"/>
                <w:color w:val="auto"/>
                <w:szCs w:val="21"/>
                <w:highlight w:val="none"/>
              </w:rPr>
              <w:t>注:根据建设部37号令规定，建设单位应当组织勘察、设计等单位在施工竞争性比选文件中列出危大工程清单，竞选人根据比选人提供的危大工程清单，结合工程实际完善危大工程清单并明确相应的安全管理措施。</w:t>
            </w:r>
          </w:p>
          <w:p w14:paraId="0978EE53">
            <w:pPr>
              <w:autoSpaceDE w:val="0"/>
              <w:autoSpaceDN w:val="0"/>
              <w:adjustRightInd w:val="0"/>
              <w:snapToGrid w:val="0"/>
              <w:spacing w:line="360" w:lineRule="exact"/>
              <w:ind w:firstLine="420" w:firstLineChars="200"/>
              <w:rPr>
                <w:rFonts w:ascii="宋体" w:hAnsi="宋体"/>
                <w:color w:val="auto"/>
                <w:szCs w:val="21"/>
                <w:highlight w:val="none"/>
              </w:rPr>
            </w:pPr>
            <w:r>
              <w:rPr>
                <w:rFonts w:hint="eastAsia" w:ascii="宋体" w:hAnsi="宋体"/>
                <w:color w:val="auto"/>
                <w:szCs w:val="21"/>
                <w:highlight w:val="none"/>
              </w:rPr>
              <w:t>2、建设单位应当按照施工合同约定及时支付危大工程施工技术措施费以及相应的安全防护文明施工措施费，施工单位按照现行规范性要求执行，做到专款专用，保障危大工程施工安全。</w:t>
            </w:r>
          </w:p>
          <w:p w14:paraId="2C46BA0D">
            <w:pPr>
              <w:snapToGrid w:val="0"/>
              <w:spacing w:line="400" w:lineRule="exact"/>
              <w:ind w:firstLine="420" w:firstLineChars="200"/>
              <w:rPr>
                <w:rFonts w:ascii="宋体" w:hAnsi="宋体"/>
                <w:color w:val="auto"/>
                <w:szCs w:val="21"/>
                <w:highlight w:val="none"/>
              </w:rPr>
            </w:pPr>
            <w:r>
              <w:rPr>
                <w:rFonts w:hint="eastAsia" w:ascii="宋体" w:hAnsi="宋体"/>
                <w:color w:val="auto"/>
                <w:szCs w:val="21"/>
                <w:highlight w:val="none"/>
              </w:rPr>
              <w:t>3、施工单位要加强安全源头治理；项目进场施工前，须进行实地物勘，核实隐蔽隐患工程情况，进行施工作业风险评估，制订施工方案。施工单位进场前未进行物勘或物勘不详和安全风险评估，造成安全损失费用，全由施工单位承担。本次招标已将物勘及风险评估费用包括在综合单价中，请竞选人自行将相关费用纳入投标报价中，结算时比选人不另行支付任何费用。</w:t>
            </w:r>
          </w:p>
        </w:tc>
      </w:tr>
      <w:tr w14:paraId="6D7FD10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1221" w:type="dxa"/>
            <w:vAlign w:val="center"/>
          </w:tcPr>
          <w:p w14:paraId="0016B91D">
            <w:pPr>
              <w:snapToGrid w:val="0"/>
              <w:spacing w:line="400" w:lineRule="exact"/>
              <w:jc w:val="center"/>
              <w:rPr>
                <w:rFonts w:ascii="宋体" w:hAnsi="宋体"/>
                <w:color w:val="auto"/>
                <w:kern w:val="0"/>
                <w:szCs w:val="21"/>
                <w:highlight w:val="none"/>
              </w:rPr>
            </w:pPr>
          </w:p>
          <w:p w14:paraId="5B71BA47">
            <w:pPr>
              <w:snapToGrid w:val="0"/>
              <w:spacing w:line="400" w:lineRule="exact"/>
              <w:jc w:val="center"/>
              <w:rPr>
                <w:rFonts w:ascii="宋体" w:hAnsi="宋体"/>
                <w:color w:val="auto"/>
                <w:kern w:val="0"/>
                <w:szCs w:val="21"/>
                <w:highlight w:val="none"/>
              </w:rPr>
            </w:pPr>
          </w:p>
          <w:p w14:paraId="4CB61C04">
            <w:pPr>
              <w:snapToGrid w:val="0"/>
              <w:spacing w:line="400" w:lineRule="exact"/>
              <w:jc w:val="center"/>
              <w:rPr>
                <w:rFonts w:ascii="宋体" w:hAnsi="宋体"/>
                <w:color w:val="auto"/>
                <w:kern w:val="0"/>
                <w:szCs w:val="21"/>
                <w:highlight w:val="none"/>
              </w:rPr>
            </w:pPr>
          </w:p>
          <w:p w14:paraId="5A4E6E7F">
            <w:pPr>
              <w:snapToGrid w:val="0"/>
              <w:spacing w:line="400" w:lineRule="exact"/>
              <w:jc w:val="center"/>
              <w:rPr>
                <w:rFonts w:ascii="宋体" w:hAnsi="宋体"/>
                <w:color w:val="auto"/>
                <w:kern w:val="0"/>
                <w:szCs w:val="21"/>
                <w:highlight w:val="none"/>
              </w:rPr>
            </w:pPr>
          </w:p>
          <w:p w14:paraId="4AE2D663">
            <w:pPr>
              <w:snapToGrid w:val="0"/>
              <w:spacing w:line="400" w:lineRule="exact"/>
              <w:jc w:val="center"/>
              <w:rPr>
                <w:rFonts w:ascii="宋体" w:hAnsi="宋体"/>
                <w:color w:val="auto"/>
                <w:kern w:val="0"/>
                <w:szCs w:val="21"/>
                <w:highlight w:val="none"/>
              </w:rPr>
            </w:pPr>
          </w:p>
          <w:p w14:paraId="27E1D3D8">
            <w:pPr>
              <w:snapToGrid w:val="0"/>
              <w:spacing w:line="400" w:lineRule="exact"/>
              <w:jc w:val="center"/>
              <w:rPr>
                <w:rFonts w:ascii="宋体" w:hAnsi="宋体"/>
                <w:color w:val="auto"/>
                <w:kern w:val="0"/>
                <w:szCs w:val="21"/>
                <w:highlight w:val="none"/>
              </w:rPr>
            </w:pPr>
          </w:p>
          <w:p w14:paraId="3FA4577F">
            <w:pPr>
              <w:snapToGrid w:val="0"/>
              <w:spacing w:line="400" w:lineRule="exact"/>
              <w:jc w:val="center"/>
              <w:rPr>
                <w:rFonts w:ascii="宋体" w:hAnsi="宋体"/>
                <w:color w:val="auto"/>
                <w:kern w:val="0"/>
                <w:szCs w:val="21"/>
                <w:highlight w:val="none"/>
              </w:rPr>
            </w:pPr>
          </w:p>
          <w:p w14:paraId="379C7830">
            <w:pPr>
              <w:snapToGrid w:val="0"/>
              <w:spacing w:line="400" w:lineRule="exact"/>
              <w:jc w:val="both"/>
              <w:rPr>
                <w:rFonts w:ascii="宋体" w:hAnsi="宋体"/>
                <w:color w:val="auto"/>
                <w:kern w:val="0"/>
                <w:szCs w:val="21"/>
                <w:highlight w:val="none"/>
              </w:rPr>
            </w:pPr>
          </w:p>
          <w:p w14:paraId="25A5B6A6">
            <w:pPr>
              <w:snapToGrid w:val="0"/>
              <w:spacing w:line="400" w:lineRule="exact"/>
              <w:jc w:val="center"/>
              <w:rPr>
                <w:rFonts w:ascii="宋体" w:hAnsi="宋体"/>
                <w:color w:val="auto"/>
                <w:kern w:val="0"/>
                <w:szCs w:val="21"/>
                <w:highlight w:val="none"/>
              </w:rPr>
            </w:pPr>
          </w:p>
          <w:p w14:paraId="027CEF15">
            <w:pPr>
              <w:snapToGrid w:val="0"/>
              <w:spacing w:line="400" w:lineRule="exact"/>
              <w:jc w:val="center"/>
              <w:rPr>
                <w:rFonts w:hint="eastAsia" w:ascii="宋体" w:hAnsi="宋体" w:eastAsia="宋体"/>
                <w:color w:val="auto"/>
                <w:kern w:val="0"/>
                <w:szCs w:val="21"/>
                <w:highlight w:val="none"/>
                <w:lang w:val="en-US" w:eastAsia="zh-CN"/>
              </w:rPr>
            </w:pPr>
            <w:r>
              <w:rPr>
                <w:rFonts w:ascii="宋体" w:hAnsi="宋体"/>
                <w:color w:val="auto"/>
                <w:kern w:val="0"/>
                <w:szCs w:val="21"/>
                <w:highlight w:val="none"/>
              </w:rPr>
              <w:t>1.4.</w:t>
            </w:r>
            <w:r>
              <w:rPr>
                <w:rFonts w:hint="eastAsia" w:ascii="宋体" w:hAnsi="宋体"/>
                <w:color w:val="auto"/>
                <w:kern w:val="0"/>
                <w:szCs w:val="21"/>
                <w:highlight w:val="none"/>
                <w:lang w:val="en-US" w:eastAsia="zh-CN"/>
              </w:rPr>
              <w:t>1</w:t>
            </w:r>
          </w:p>
          <w:p w14:paraId="4188B017">
            <w:pPr>
              <w:snapToGrid w:val="0"/>
              <w:spacing w:line="400" w:lineRule="exact"/>
              <w:rPr>
                <w:rFonts w:ascii="宋体" w:hAnsi="宋体"/>
                <w:color w:val="auto"/>
                <w:kern w:val="0"/>
                <w:szCs w:val="21"/>
                <w:highlight w:val="none"/>
              </w:rPr>
            </w:pPr>
          </w:p>
        </w:tc>
        <w:tc>
          <w:tcPr>
            <w:tcW w:w="1610" w:type="dxa"/>
            <w:vAlign w:val="center"/>
          </w:tcPr>
          <w:p w14:paraId="5900A6D0">
            <w:pPr>
              <w:snapToGrid w:val="0"/>
              <w:spacing w:line="400" w:lineRule="exact"/>
              <w:jc w:val="center"/>
              <w:rPr>
                <w:rFonts w:ascii="宋体" w:hAnsi="宋体"/>
                <w:color w:val="auto"/>
                <w:kern w:val="0"/>
                <w:szCs w:val="21"/>
                <w:highlight w:val="none"/>
              </w:rPr>
            </w:pPr>
          </w:p>
          <w:p w14:paraId="016081A7">
            <w:pPr>
              <w:snapToGrid w:val="0"/>
              <w:spacing w:line="400" w:lineRule="exact"/>
              <w:jc w:val="center"/>
              <w:rPr>
                <w:rFonts w:ascii="宋体" w:hAnsi="宋体"/>
                <w:color w:val="auto"/>
                <w:kern w:val="0"/>
                <w:szCs w:val="21"/>
                <w:highlight w:val="none"/>
              </w:rPr>
            </w:pPr>
          </w:p>
          <w:p w14:paraId="46772524">
            <w:pPr>
              <w:snapToGrid w:val="0"/>
              <w:spacing w:line="400" w:lineRule="exact"/>
              <w:jc w:val="center"/>
              <w:rPr>
                <w:rFonts w:ascii="宋体" w:hAnsi="宋体"/>
                <w:color w:val="auto"/>
                <w:kern w:val="0"/>
                <w:szCs w:val="21"/>
                <w:highlight w:val="none"/>
              </w:rPr>
            </w:pPr>
          </w:p>
          <w:p w14:paraId="0D9AF251">
            <w:pPr>
              <w:snapToGrid w:val="0"/>
              <w:spacing w:line="400" w:lineRule="exact"/>
              <w:jc w:val="center"/>
              <w:rPr>
                <w:rFonts w:ascii="宋体" w:hAnsi="宋体"/>
                <w:color w:val="auto"/>
                <w:kern w:val="0"/>
                <w:szCs w:val="21"/>
                <w:highlight w:val="none"/>
              </w:rPr>
            </w:pPr>
          </w:p>
          <w:p w14:paraId="76366D6E">
            <w:pPr>
              <w:snapToGrid w:val="0"/>
              <w:spacing w:line="400" w:lineRule="exact"/>
              <w:jc w:val="center"/>
              <w:rPr>
                <w:rFonts w:ascii="宋体" w:hAnsi="宋体"/>
                <w:color w:val="auto"/>
                <w:kern w:val="0"/>
                <w:szCs w:val="21"/>
                <w:highlight w:val="none"/>
              </w:rPr>
            </w:pPr>
          </w:p>
          <w:p w14:paraId="0D73BB6A">
            <w:pPr>
              <w:snapToGrid w:val="0"/>
              <w:spacing w:line="400" w:lineRule="exact"/>
              <w:jc w:val="center"/>
              <w:rPr>
                <w:rFonts w:ascii="宋体" w:hAnsi="宋体"/>
                <w:color w:val="auto"/>
                <w:kern w:val="0"/>
                <w:szCs w:val="21"/>
                <w:highlight w:val="none"/>
              </w:rPr>
            </w:pPr>
          </w:p>
          <w:p w14:paraId="339E49DA">
            <w:pPr>
              <w:snapToGrid w:val="0"/>
              <w:spacing w:line="400" w:lineRule="exact"/>
              <w:jc w:val="center"/>
              <w:rPr>
                <w:rFonts w:ascii="宋体" w:hAnsi="宋体"/>
                <w:color w:val="auto"/>
                <w:kern w:val="0"/>
                <w:szCs w:val="21"/>
                <w:highlight w:val="none"/>
              </w:rPr>
            </w:pPr>
          </w:p>
          <w:p w14:paraId="0F8D7CCD">
            <w:pPr>
              <w:snapToGrid w:val="0"/>
              <w:spacing w:line="400" w:lineRule="exact"/>
              <w:jc w:val="both"/>
              <w:rPr>
                <w:rFonts w:ascii="宋体" w:hAnsi="宋体"/>
                <w:color w:val="auto"/>
                <w:kern w:val="0"/>
                <w:szCs w:val="21"/>
                <w:highlight w:val="none"/>
              </w:rPr>
            </w:pPr>
          </w:p>
          <w:p w14:paraId="233CDC60">
            <w:pPr>
              <w:snapToGrid w:val="0"/>
              <w:spacing w:line="400" w:lineRule="exact"/>
              <w:jc w:val="center"/>
              <w:rPr>
                <w:rFonts w:ascii="宋体" w:hAnsi="宋体"/>
                <w:color w:val="auto"/>
                <w:kern w:val="0"/>
                <w:szCs w:val="21"/>
                <w:highlight w:val="none"/>
              </w:rPr>
            </w:pPr>
          </w:p>
          <w:p w14:paraId="2968E0B7">
            <w:pPr>
              <w:snapToGrid w:val="0"/>
              <w:spacing w:line="400" w:lineRule="exact"/>
              <w:jc w:val="center"/>
              <w:rPr>
                <w:rFonts w:ascii="宋体" w:hAnsi="宋体"/>
                <w:color w:val="auto"/>
                <w:kern w:val="0"/>
                <w:szCs w:val="21"/>
                <w:highlight w:val="none"/>
              </w:rPr>
            </w:pPr>
            <w:r>
              <w:rPr>
                <w:rFonts w:hint="eastAsia" w:ascii="宋体" w:hAnsi="宋体"/>
                <w:color w:val="auto"/>
                <w:kern w:val="0"/>
                <w:szCs w:val="21"/>
                <w:highlight w:val="none"/>
              </w:rPr>
              <w:t>竞选人</w:t>
            </w:r>
            <w:r>
              <w:rPr>
                <w:rFonts w:ascii="宋体" w:hAnsi="宋体"/>
                <w:color w:val="auto"/>
                <w:kern w:val="0"/>
                <w:szCs w:val="21"/>
                <w:highlight w:val="none"/>
              </w:rPr>
              <w:t>资质条件、能力和信誉</w:t>
            </w:r>
          </w:p>
          <w:p w14:paraId="17CD3BF3">
            <w:pPr>
              <w:snapToGrid w:val="0"/>
              <w:spacing w:line="400" w:lineRule="exact"/>
              <w:jc w:val="both"/>
              <w:rPr>
                <w:rFonts w:ascii="宋体" w:hAnsi="宋体"/>
                <w:color w:val="auto"/>
                <w:kern w:val="0"/>
                <w:szCs w:val="21"/>
                <w:highlight w:val="none"/>
              </w:rPr>
            </w:pPr>
          </w:p>
        </w:tc>
        <w:tc>
          <w:tcPr>
            <w:tcW w:w="6737" w:type="dxa"/>
            <w:vAlign w:val="center"/>
          </w:tcPr>
          <w:p w14:paraId="4764D9CA">
            <w:pPr>
              <w:spacing w:line="340" w:lineRule="exact"/>
              <w:ind w:firstLine="420" w:firstLineChars="200"/>
              <w:rPr>
                <w:rFonts w:hint="eastAsia" w:ascii="宋体" w:hAnsi="宋体"/>
                <w:color w:val="auto"/>
                <w:szCs w:val="21"/>
                <w:highlight w:val="none"/>
              </w:rPr>
            </w:pPr>
            <w:r>
              <w:rPr>
                <w:rFonts w:hint="eastAsia" w:ascii="宋体" w:hAnsi="宋体"/>
                <w:color w:val="auto"/>
                <w:szCs w:val="21"/>
                <w:highlight w:val="none"/>
              </w:rPr>
              <w:t>本项目施工比选实行资格后审，</w:t>
            </w:r>
            <w:r>
              <w:rPr>
                <w:rFonts w:ascii="宋体" w:hAnsi="宋体"/>
                <w:color w:val="auto"/>
                <w:szCs w:val="21"/>
                <w:highlight w:val="none"/>
              </w:rPr>
              <w:t>竞争性比选单位必须具有独立法人资格</w:t>
            </w:r>
            <w:r>
              <w:rPr>
                <w:rFonts w:hint="eastAsia" w:ascii="宋体" w:hAnsi="宋体"/>
                <w:color w:val="auto"/>
                <w:szCs w:val="21"/>
                <w:highlight w:val="none"/>
              </w:rPr>
              <w:t>，且具备以下资格条件：</w:t>
            </w:r>
          </w:p>
          <w:p w14:paraId="5D6F9A38">
            <w:pPr>
              <w:autoSpaceDE w:val="0"/>
              <w:autoSpaceDN w:val="0"/>
              <w:adjustRightInd w:val="0"/>
              <w:snapToGrid w:val="0"/>
              <w:spacing w:line="360" w:lineRule="auto"/>
              <w:ind w:firstLine="422" w:firstLineChars="200"/>
              <w:rPr>
                <w:rFonts w:ascii="宋体" w:hAnsi="宋体"/>
                <w:b/>
                <w:color w:val="auto"/>
                <w:szCs w:val="21"/>
                <w:highlight w:val="none"/>
              </w:rPr>
            </w:pPr>
            <w:r>
              <w:rPr>
                <w:rFonts w:ascii="宋体" w:hAnsi="宋体"/>
                <w:b/>
                <w:color w:val="auto"/>
                <w:szCs w:val="21"/>
                <w:highlight w:val="none"/>
              </w:rPr>
              <w:t>1.资质条件、营业执照及安全生产条件</w:t>
            </w:r>
          </w:p>
          <w:p w14:paraId="2E2B77EA">
            <w:pPr>
              <w:autoSpaceDE w:val="0"/>
              <w:autoSpaceDN w:val="0"/>
              <w:adjustRightInd w:val="0"/>
              <w:snapToGrid w:val="0"/>
              <w:spacing w:line="360" w:lineRule="auto"/>
              <w:ind w:firstLine="420" w:firstLineChars="200"/>
              <w:rPr>
                <w:rFonts w:hint="eastAsia" w:ascii="宋体" w:hAnsi="宋体" w:eastAsia="宋体" w:cs="宋体"/>
                <w:color w:val="auto"/>
                <w:kern w:val="0"/>
                <w:szCs w:val="21"/>
                <w:highlight w:val="none"/>
                <w:lang w:val="en-US" w:eastAsia="zh-CN"/>
              </w:rPr>
            </w:pPr>
            <w:r>
              <w:rPr>
                <w:rFonts w:ascii="宋体" w:hAnsi="宋体"/>
                <w:color w:val="auto"/>
                <w:szCs w:val="21"/>
                <w:highlight w:val="none"/>
              </w:rPr>
              <w:t>（1）</w:t>
            </w:r>
            <w:r>
              <w:rPr>
                <w:rFonts w:hint="eastAsia" w:ascii="宋体" w:hAnsi="宋体"/>
                <w:color w:val="auto"/>
                <w:szCs w:val="21"/>
                <w:highlight w:val="none"/>
              </w:rPr>
              <w:t>须具备建设行政主管部门颁发</w:t>
            </w:r>
            <w:r>
              <w:rPr>
                <w:rFonts w:hint="eastAsia" w:ascii="宋体" w:hAnsi="宋体"/>
                <w:color w:val="auto"/>
                <w:szCs w:val="21"/>
                <w:highlight w:val="none"/>
                <w:lang w:val="en-US" w:eastAsia="zh-CN"/>
              </w:rPr>
              <w:t>市政施工总承包</w:t>
            </w:r>
            <w:r>
              <w:rPr>
                <w:rFonts w:hint="eastAsia" w:ascii="宋体" w:hAnsi="宋体"/>
                <w:color w:val="auto"/>
                <w:szCs w:val="21"/>
                <w:highlight w:val="none"/>
              </w:rPr>
              <w:t>三级及以上资质</w:t>
            </w:r>
            <w:r>
              <w:rPr>
                <w:rFonts w:hint="eastAsia" w:ascii="宋体" w:hAnsi="宋体"/>
                <w:color w:val="auto"/>
                <w:szCs w:val="21"/>
                <w:highlight w:val="none"/>
                <w:lang w:val="en-US" w:eastAsia="zh-CN"/>
              </w:rPr>
              <w:t>.</w:t>
            </w:r>
          </w:p>
          <w:p w14:paraId="6694F651">
            <w:pPr>
              <w:autoSpaceDE w:val="0"/>
              <w:autoSpaceDN w:val="0"/>
              <w:adjustRightInd w:val="0"/>
              <w:snapToGrid w:val="0"/>
              <w:spacing w:line="360" w:lineRule="auto"/>
              <w:ind w:firstLine="420" w:firstLineChars="200"/>
              <w:rPr>
                <w:rFonts w:ascii="宋体" w:hAnsi="宋体"/>
                <w:color w:val="auto"/>
                <w:szCs w:val="21"/>
                <w:highlight w:val="none"/>
              </w:rPr>
            </w:pPr>
            <w:r>
              <w:rPr>
                <w:rFonts w:hint="eastAsia" w:ascii="宋体" w:hAnsi="宋体"/>
                <w:color w:val="auto"/>
                <w:szCs w:val="21"/>
                <w:highlight w:val="none"/>
              </w:rPr>
              <w:t xml:space="preserve">竞选人须在竞选文件资格审查部分提供有效的资质证书。注：不 </w:t>
            </w:r>
          </w:p>
          <w:p w14:paraId="165BBE8C">
            <w:pPr>
              <w:autoSpaceDE w:val="0"/>
              <w:autoSpaceDN w:val="0"/>
              <w:adjustRightInd w:val="0"/>
              <w:snapToGrid w:val="0"/>
              <w:spacing w:line="360" w:lineRule="auto"/>
              <w:rPr>
                <w:rFonts w:ascii="宋体" w:hAnsi="宋体"/>
                <w:color w:val="auto"/>
                <w:szCs w:val="21"/>
                <w:highlight w:val="none"/>
              </w:rPr>
            </w:pPr>
            <w:r>
              <w:rPr>
                <w:rFonts w:hint="eastAsia" w:ascii="宋体" w:hAnsi="宋体"/>
                <w:color w:val="auto"/>
                <w:szCs w:val="21"/>
                <w:highlight w:val="none"/>
              </w:rPr>
              <w:t>得将竞选人营业执照记载的经营范围作为评审因素。</w:t>
            </w:r>
          </w:p>
          <w:p w14:paraId="79D65686">
            <w:pPr>
              <w:autoSpaceDE w:val="0"/>
              <w:autoSpaceDN w:val="0"/>
              <w:adjustRightInd w:val="0"/>
              <w:snapToGrid w:val="0"/>
              <w:spacing w:line="360" w:lineRule="auto"/>
              <w:ind w:firstLine="420" w:firstLineChars="200"/>
              <w:rPr>
                <w:rFonts w:ascii="宋体" w:hAnsi="宋体"/>
                <w:color w:val="auto"/>
                <w:szCs w:val="21"/>
                <w:highlight w:val="none"/>
              </w:rPr>
            </w:pPr>
            <w:r>
              <w:rPr>
                <w:rFonts w:ascii="宋体" w:hAnsi="宋体"/>
                <w:color w:val="auto"/>
                <w:szCs w:val="21"/>
                <w:highlight w:val="none"/>
              </w:rPr>
              <w:t>（2）具备有效的营业执照。</w:t>
            </w:r>
          </w:p>
          <w:p w14:paraId="4163B592">
            <w:pPr>
              <w:autoSpaceDE w:val="0"/>
              <w:autoSpaceDN w:val="0"/>
              <w:adjustRightInd w:val="0"/>
              <w:snapToGrid w:val="0"/>
              <w:spacing w:line="360" w:lineRule="auto"/>
              <w:ind w:firstLine="420" w:firstLineChars="200"/>
              <w:rPr>
                <w:rFonts w:ascii="宋体" w:hAnsi="宋体"/>
                <w:color w:val="auto"/>
                <w:szCs w:val="21"/>
                <w:highlight w:val="none"/>
              </w:rPr>
            </w:pPr>
            <w:r>
              <w:rPr>
                <w:rFonts w:hint="eastAsia" w:ascii="宋体" w:hAnsi="宋体"/>
                <w:color w:val="auto"/>
                <w:szCs w:val="21"/>
                <w:highlight w:val="none"/>
              </w:rPr>
              <w:t>竞选人</w:t>
            </w:r>
            <w:r>
              <w:rPr>
                <w:rFonts w:ascii="宋体" w:hAnsi="宋体"/>
                <w:color w:val="auto"/>
                <w:szCs w:val="21"/>
                <w:highlight w:val="none"/>
              </w:rPr>
              <w:t>须</w:t>
            </w:r>
            <w:r>
              <w:rPr>
                <w:rFonts w:hint="eastAsia" w:ascii="宋体" w:hAnsi="宋体"/>
                <w:color w:val="auto"/>
                <w:szCs w:val="21"/>
                <w:highlight w:val="none"/>
              </w:rPr>
              <w:t>在竞选文件资格审查部分</w:t>
            </w:r>
            <w:r>
              <w:rPr>
                <w:rFonts w:ascii="宋体" w:hAnsi="宋体"/>
                <w:color w:val="auto"/>
                <w:szCs w:val="21"/>
                <w:highlight w:val="none"/>
              </w:rPr>
              <w:t>提供有效的带二维码</w:t>
            </w:r>
            <w:r>
              <w:rPr>
                <w:rFonts w:hint="eastAsia" w:ascii="宋体" w:hAnsi="宋体"/>
                <w:color w:val="auto"/>
                <w:szCs w:val="21"/>
                <w:highlight w:val="none"/>
              </w:rPr>
              <w:t>标识</w:t>
            </w:r>
            <w:r>
              <w:rPr>
                <w:rFonts w:ascii="宋体" w:hAnsi="宋体"/>
                <w:color w:val="auto"/>
                <w:szCs w:val="21"/>
                <w:highlight w:val="none"/>
              </w:rPr>
              <w:t>的营业执照复印件。</w:t>
            </w:r>
          </w:p>
          <w:p w14:paraId="6AB8FB62">
            <w:pPr>
              <w:autoSpaceDE w:val="0"/>
              <w:autoSpaceDN w:val="0"/>
              <w:adjustRightInd w:val="0"/>
              <w:snapToGrid w:val="0"/>
              <w:spacing w:line="360" w:lineRule="auto"/>
              <w:ind w:firstLine="420" w:firstLineChars="200"/>
              <w:rPr>
                <w:rFonts w:ascii="宋体" w:hAnsi="宋体"/>
                <w:color w:val="auto"/>
                <w:szCs w:val="21"/>
                <w:highlight w:val="none"/>
              </w:rPr>
            </w:pPr>
            <w:r>
              <w:rPr>
                <w:rFonts w:ascii="宋体" w:hAnsi="宋体"/>
                <w:color w:val="auto"/>
                <w:szCs w:val="21"/>
                <w:highlight w:val="none"/>
              </w:rPr>
              <w:t>（3）具备建设行政主管部门颁发的有效的安全生产许可证，企业</w:t>
            </w:r>
            <w:r>
              <w:rPr>
                <w:rFonts w:hint="eastAsia" w:ascii="宋体" w:hAnsi="宋体"/>
                <w:color w:val="auto"/>
                <w:szCs w:val="21"/>
                <w:highlight w:val="none"/>
              </w:rPr>
              <w:t>主要</w:t>
            </w:r>
            <w:r>
              <w:rPr>
                <w:rFonts w:ascii="宋体" w:hAnsi="宋体"/>
                <w:color w:val="auto"/>
                <w:szCs w:val="21"/>
                <w:highlight w:val="none"/>
              </w:rPr>
              <w:t>负责人</w:t>
            </w:r>
            <w:r>
              <w:rPr>
                <w:rFonts w:hint="eastAsia" w:ascii="宋体" w:hAnsi="宋体"/>
                <w:color w:val="auto"/>
                <w:szCs w:val="21"/>
                <w:highlight w:val="none"/>
              </w:rPr>
              <w:t>（A证）</w:t>
            </w:r>
            <w:r>
              <w:rPr>
                <w:rFonts w:ascii="宋体" w:hAnsi="宋体"/>
                <w:color w:val="auto"/>
                <w:szCs w:val="21"/>
                <w:highlight w:val="none"/>
              </w:rPr>
              <w:t>、拟担任该项目项目经理具备相应的由建设行政主管部门颁发的有效的安全生产考核合格证书</w:t>
            </w:r>
            <w:r>
              <w:rPr>
                <w:rFonts w:hint="eastAsia" w:ascii="宋体" w:hAnsi="宋体"/>
                <w:color w:val="auto"/>
                <w:szCs w:val="21"/>
                <w:highlight w:val="none"/>
              </w:rPr>
              <w:t>（B证）。</w:t>
            </w:r>
          </w:p>
          <w:p w14:paraId="3C21E992">
            <w:pPr>
              <w:autoSpaceDE w:val="0"/>
              <w:autoSpaceDN w:val="0"/>
              <w:adjustRightInd w:val="0"/>
              <w:snapToGrid w:val="0"/>
              <w:spacing w:line="400" w:lineRule="exact"/>
              <w:ind w:firstLine="420" w:firstLineChars="200"/>
              <w:rPr>
                <w:rFonts w:ascii="宋体" w:hAnsi="宋体"/>
                <w:color w:val="auto"/>
                <w:szCs w:val="21"/>
                <w:highlight w:val="none"/>
              </w:rPr>
            </w:pPr>
            <w:r>
              <w:rPr>
                <w:rFonts w:hint="eastAsia" w:ascii="宋体" w:hAnsi="宋体"/>
                <w:color w:val="auto"/>
                <w:szCs w:val="21"/>
                <w:highlight w:val="none"/>
              </w:rPr>
              <w:t>竞选人须在竞选文件资格审查部分提供有效的安全生产许可证</w:t>
            </w:r>
            <w:r>
              <w:rPr>
                <w:rFonts w:ascii="宋体" w:hAnsi="宋体"/>
                <w:color w:val="auto"/>
                <w:szCs w:val="21"/>
                <w:highlight w:val="none"/>
              </w:rPr>
              <w:t>及安全生产考核合格证书</w:t>
            </w:r>
            <w:r>
              <w:rPr>
                <w:rFonts w:hint="eastAsia" w:ascii="宋体" w:hAnsi="宋体"/>
                <w:color w:val="auto"/>
                <w:szCs w:val="21"/>
                <w:highlight w:val="none"/>
              </w:rPr>
              <w:t>（A、B证）</w:t>
            </w:r>
            <w:r>
              <w:rPr>
                <w:rFonts w:ascii="宋体" w:hAnsi="宋体"/>
                <w:color w:val="auto"/>
                <w:szCs w:val="21"/>
                <w:highlight w:val="none"/>
              </w:rPr>
              <w:t>复印件。</w:t>
            </w:r>
          </w:p>
          <w:p w14:paraId="316A23D9">
            <w:pPr>
              <w:autoSpaceDE w:val="0"/>
              <w:autoSpaceDN w:val="0"/>
              <w:adjustRightInd w:val="0"/>
              <w:snapToGrid w:val="0"/>
              <w:spacing w:line="400" w:lineRule="exact"/>
              <w:ind w:firstLine="420" w:firstLineChars="200"/>
              <w:rPr>
                <w:color w:val="auto"/>
                <w:highlight w:val="none"/>
              </w:rPr>
            </w:pPr>
            <w:r>
              <w:rPr>
                <w:rFonts w:hint="eastAsia" w:ascii="宋体" w:hAnsi="宋体" w:cs="黑体"/>
                <w:color w:val="auto"/>
                <w:kern w:val="0"/>
                <w:szCs w:val="21"/>
                <w:highlight w:val="none"/>
              </w:rPr>
              <w:t>2</w:t>
            </w:r>
            <w:r>
              <w:rPr>
                <w:rFonts w:hint="eastAsia" w:ascii="宋体" w:hAnsi="宋体" w:cs="宋体"/>
                <w:b/>
                <w:color w:val="auto"/>
                <w:szCs w:val="21"/>
                <w:highlight w:val="none"/>
              </w:rPr>
              <w:t>.主要管理人员：</w:t>
            </w:r>
          </w:p>
          <w:p w14:paraId="7183D2BA">
            <w:pPr>
              <w:autoSpaceDE w:val="0"/>
              <w:autoSpaceDN w:val="0"/>
              <w:adjustRightInd w:val="0"/>
              <w:spacing w:line="400" w:lineRule="exact"/>
              <w:ind w:firstLine="420" w:firstLineChars="200"/>
              <w:rPr>
                <w:color w:val="auto"/>
                <w:highlight w:val="none"/>
              </w:rPr>
            </w:pPr>
            <w:r>
              <w:rPr>
                <w:rFonts w:hint="eastAsia"/>
                <w:color w:val="auto"/>
                <w:highlight w:val="none"/>
              </w:rPr>
              <w:t>投标人自行承诺中标后在签订合同之前，须按照建设行政主管部门的要求组建施工项目部，配置项目管理班子，出具任命文件。任命文件应当明确施工项目部的职责、岗位设置、人员配备，并书面通知建设单位。相关岗位管理人员应持有建设行政主管部门要求的岗位证书。中标后不能满足该要求的，招标人可取消其中标资格，给招标人造成损失的，投标人依法承担违约赔偿责任。</w:t>
            </w:r>
          </w:p>
          <w:p w14:paraId="441C8BC4">
            <w:pPr>
              <w:autoSpaceDE w:val="0"/>
              <w:autoSpaceDN w:val="0"/>
              <w:adjustRightInd w:val="0"/>
              <w:spacing w:line="400" w:lineRule="exact"/>
              <w:ind w:firstLine="420" w:firstLineChars="200"/>
              <w:rPr>
                <w:color w:val="auto"/>
                <w:highlight w:val="none"/>
              </w:rPr>
            </w:pPr>
            <w:r>
              <w:rPr>
                <w:rFonts w:hint="eastAsia"/>
                <w:color w:val="auto"/>
                <w:highlight w:val="none"/>
              </w:rPr>
              <w:t>投标人须在投标文件资格审查部分提供承诺（承诺格式见第七章投标文件格式）。</w:t>
            </w:r>
          </w:p>
          <w:p w14:paraId="604DFCD8">
            <w:pPr>
              <w:spacing w:line="400" w:lineRule="exact"/>
              <w:ind w:firstLine="420" w:firstLineChars="200"/>
              <w:rPr>
                <w:rFonts w:hint="eastAsia" w:hAnsi="宋体"/>
                <w:color w:val="auto"/>
                <w:sz w:val="21"/>
                <w:szCs w:val="21"/>
                <w:highlight w:val="none"/>
              </w:rPr>
            </w:pPr>
            <w:r>
              <w:rPr>
                <w:rFonts w:hint="eastAsia" w:hAnsi="宋体"/>
                <w:color w:val="auto"/>
                <w:sz w:val="21"/>
                <w:szCs w:val="21"/>
                <w:highlight w:val="none"/>
              </w:rPr>
              <w:t>注：竞争性比选单位必须全部满足以上所有资格条件时才被视为资格审查合格。</w:t>
            </w:r>
          </w:p>
          <w:p w14:paraId="2F3BDC02">
            <w:pPr>
              <w:snapToGrid w:val="0"/>
              <w:spacing w:line="400" w:lineRule="exact"/>
              <w:ind w:firstLine="422" w:firstLineChars="200"/>
              <w:rPr>
                <w:rFonts w:ascii="宋体" w:hAnsi="宋体"/>
                <w:b/>
                <w:color w:val="auto"/>
                <w:szCs w:val="21"/>
                <w:highlight w:val="none"/>
              </w:rPr>
            </w:pPr>
            <w:r>
              <w:rPr>
                <w:rFonts w:hint="eastAsia" w:ascii="宋体" w:hAnsi="宋体"/>
                <w:b/>
                <w:color w:val="auto"/>
                <w:szCs w:val="21"/>
                <w:highlight w:val="none"/>
              </w:rPr>
              <w:t>3</w:t>
            </w:r>
            <w:r>
              <w:rPr>
                <w:rFonts w:ascii="宋体" w:hAnsi="宋体"/>
                <w:b/>
                <w:color w:val="auto"/>
                <w:szCs w:val="21"/>
                <w:highlight w:val="none"/>
              </w:rPr>
              <w:t>.项目经理资格要求</w:t>
            </w:r>
          </w:p>
          <w:p w14:paraId="71B16BC5">
            <w:pPr>
              <w:snapToGrid w:val="0"/>
              <w:spacing w:line="400" w:lineRule="exact"/>
              <w:ind w:firstLine="420" w:firstLineChars="200"/>
              <w:rPr>
                <w:rFonts w:ascii="宋体" w:hAnsi="宋体"/>
                <w:color w:val="auto"/>
                <w:szCs w:val="21"/>
                <w:highlight w:val="none"/>
              </w:rPr>
            </w:pPr>
            <w:r>
              <w:rPr>
                <w:color w:val="auto"/>
                <w:szCs w:val="21"/>
                <w:highlight w:val="none"/>
              </w:rPr>
              <w:t>（</w:t>
            </w:r>
            <w:r>
              <w:rPr>
                <w:rFonts w:hint="eastAsia"/>
                <w:color w:val="auto"/>
                <w:szCs w:val="21"/>
                <w:highlight w:val="none"/>
              </w:rPr>
              <w:t>1</w:t>
            </w:r>
            <w:r>
              <w:rPr>
                <w:color w:val="auto"/>
                <w:szCs w:val="21"/>
                <w:highlight w:val="none"/>
              </w:rPr>
              <w:t>）</w:t>
            </w:r>
            <w:r>
              <w:rPr>
                <w:rFonts w:hint="eastAsia"/>
                <w:color w:val="auto"/>
                <w:szCs w:val="21"/>
                <w:highlight w:val="none"/>
              </w:rPr>
              <w:t>竞选人拟派的</w:t>
            </w:r>
            <w:r>
              <w:rPr>
                <w:color w:val="auto"/>
                <w:szCs w:val="21"/>
                <w:highlight w:val="none"/>
              </w:rPr>
              <w:t>项目经理必须已在</w:t>
            </w:r>
            <w:r>
              <w:rPr>
                <w:rFonts w:hint="eastAsia"/>
                <w:color w:val="auto"/>
                <w:szCs w:val="21"/>
                <w:highlight w:val="none"/>
              </w:rPr>
              <w:t>竞选人本</w:t>
            </w:r>
            <w:r>
              <w:rPr>
                <w:color w:val="auto"/>
                <w:szCs w:val="21"/>
                <w:highlight w:val="none"/>
              </w:rPr>
              <w:t>单位注册并应具有</w:t>
            </w:r>
            <w:r>
              <w:rPr>
                <w:color w:val="auto"/>
                <w:szCs w:val="21"/>
                <w:highlight w:val="none"/>
                <w:u w:val="single"/>
              </w:rPr>
              <w:t xml:space="preserve"> </w:t>
            </w:r>
            <w:r>
              <w:rPr>
                <w:rFonts w:hint="eastAsia"/>
                <w:color w:val="auto"/>
                <w:szCs w:val="21"/>
                <w:highlight w:val="none"/>
                <w:u w:val="single"/>
                <w:lang w:val="en-US" w:eastAsia="zh-CN"/>
              </w:rPr>
              <w:t>市政</w:t>
            </w:r>
            <w:r>
              <w:rPr>
                <w:rFonts w:hint="eastAsia" w:ascii="宋体" w:hAnsi="宋体" w:cs="宋体"/>
                <w:color w:val="auto"/>
                <w:szCs w:val="21"/>
                <w:highlight w:val="none"/>
                <w:u w:val="single"/>
              </w:rPr>
              <w:t xml:space="preserve"> </w:t>
            </w:r>
            <w:r>
              <w:rPr>
                <w:rFonts w:hint="eastAsia"/>
                <w:color w:val="auto"/>
                <w:szCs w:val="21"/>
                <w:highlight w:val="none"/>
              </w:rPr>
              <w:t>专业</w:t>
            </w:r>
            <w:r>
              <w:rPr>
                <w:color w:val="auto"/>
                <w:szCs w:val="21"/>
                <w:highlight w:val="none"/>
                <w:u w:val="single"/>
              </w:rPr>
              <w:t xml:space="preserve"> </w:t>
            </w:r>
            <w:r>
              <w:rPr>
                <w:rFonts w:hint="eastAsia"/>
                <w:color w:val="auto"/>
                <w:szCs w:val="21"/>
                <w:highlight w:val="none"/>
                <w:u w:val="single"/>
              </w:rPr>
              <w:t>贰</w:t>
            </w:r>
            <w:r>
              <w:rPr>
                <w:color w:val="auto"/>
                <w:szCs w:val="21"/>
                <w:highlight w:val="none"/>
                <w:u w:val="single"/>
              </w:rPr>
              <w:t>级及以上</w:t>
            </w:r>
            <w:r>
              <w:rPr>
                <w:color w:val="auto"/>
                <w:szCs w:val="21"/>
                <w:highlight w:val="none"/>
              </w:rPr>
              <w:t>注册建造师执业</w:t>
            </w:r>
            <w:r>
              <w:rPr>
                <w:rFonts w:ascii="宋体" w:hAnsi="宋体"/>
                <w:color w:val="auto"/>
                <w:szCs w:val="21"/>
                <w:highlight w:val="none"/>
              </w:rPr>
              <w:t>资格</w:t>
            </w:r>
            <w:r>
              <w:rPr>
                <w:rFonts w:hint="eastAsia" w:ascii="宋体" w:hAnsi="宋体"/>
                <w:color w:val="auto"/>
                <w:szCs w:val="21"/>
                <w:highlight w:val="none"/>
              </w:rPr>
              <w:t>，应为竞选人本单位人员，并做出项目经理到岗履职的承诺（自行承诺拟派项目经理中标后只能在本项目任职，签订合同时拟派的项目经理必须与投标文件中的项目经理一致，并满足办理施工许可手续的相关要求。不能按承诺到岗履约的，按合同相关条款处罚并上报行政主管部门，给比选人造成损失的，竞选人依法承担违约赔偿责任）和未被禁标的承诺（自行承诺拟派项目经理未被我市住房和城乡建设主管部门暂停在渝承揽新业务，若被暂停且参加投标的投标将被否决，竞选保证金不予退还，给比选人造成损失的，竞选人依法承担违约赔偿责任），否则由评标委员会作否决投标处理。</w:t>
            </w:r>
          </w:p>
          <w:p w14:paraId="5882272B">
            <w:pPr>
              <w:snapToGrid w:val="0"/>
              <w:spacing w:line="400" w:lineRule="exact"/>
              <w:ind w:firstLine="420" w:firstLineChars="200"/>
              <w:rPr>
                <w:rFonts w:ascii="宋体" w:hAnsi="宋体"/>
                <w:color w:val="auto"/>
                <w:szCs w:val="21"/>
                <w:highlight w:val="none"/>
              </w:rPr>
            </w:pPr>
            <w:r>
              <w:rPr>
                <w:rFonts w:hint="eastAsia" w:ascii="宋体" w:hAnsi="宋体"/>
                <w:color w:val="auto"/>
                <w:szCs w:val="21"/>
                <w:highlight w:val="none"/>
              </w:rPr>
              <w:t>拟派项目经理中标后不得随意更换。</w:t>
            </w:r>
          </w:p>
          <w:p w14:paraId="0951C486">
            <w:pPr>
              <w:pStyle w:val="2"/>
              <w:rPr>
                <w:highlight w:val="none"/>
                <w:lang w:val="en-US" w:eastAsia="zh-CN"/>
              </w:rPr>
            </w:pPr>
            <w:r>
              <w:rPr>
                <w:rFonts w:hint="eastAsia" w:ascii="宋体" w:hAnsi="宋体"/>
                <w:color w:val="auto"/>
                <w:kern w:val="0"/>
                <w:szCs w:val="21"/>
                <w:highlight w:val="none"/>
              </w:rPr>
              <w:t>同时，竞选人须在竞选文件资格审查部分提供拟派项目经理建造师注册证、身份证，拟派项目经理到岗履职和未被禁标的承诺原件。</w:t>
            </w:r>
          </w:p>
        </w:tc>
      </w:tr>
      <w:tr w14:paraId="75C3F45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22" w:hRule="atLeast"/>
          <w:jc w:val="center"/>
        </w:trPr>
        <w:tc>
          <w:tcPr>
            <w:tcW w:w="1221" w:type="dxa"/>
            <w:vAlign w:val="center"/>
          </w:tcPr>
          <w:p w14:paraId="2C53607F">
            <w:pPr>
              <w:snapToGrid w:val="0"/>
              <w:spacing w:line="400" w:lineRule="exact"/>
              <w:jc w:val="center"/>
              <w:rPr>
                <w:rFonts w:ascii="宋体" w:hAnsi="宋体"/>
                <w:color w:val="auto"/>
                <w:kern w:val="0"/>
                <w:szCs w:val="21"/>
                <w:highlight w:val="none"/>
              </w:rPr>
            </w:pPr>
            <w:r>
              <w:rPr>
                <w:rFonts w:ascii="宋体" w:hAnsi="宋体"/>
                <w:color w:val="auto"/>
                <w:kern w:val="0"/>
                <w:szCs w:val="21"/>
                <w:highlight w:val="none"/>
              </w:rPr>
              <w:t>1.4.2</w:t>
            </w:r>
          </w:p>
        </w:tc>
        <w:tc>
          <w:tcPr>
            <w:tcW w:w="1610" w:type="dxa"/>
            <w:vAlign w:val="center"/>
          </w:tcPr>
          <w:p w14:paraId="64676E21">
            <w:pPr>
              <w:snapToGrid w:val="0"/>
              <w:spacing w:line="400" w:lineRule="exact"/>
              <w:jc w:val="center"/>
              <w:rPr>
                <w:rFonts w:ascii="宋体" w:hAnsi="宋体"/>
                <w:color w:val="auto"/>
                <w:kern w:val="0"/>
                <w:szCs w:val="21"/>
                <w:highlight w:val="none"/>
              </w:rPr>
            </w:pPr>
            <w:r>
              <w:rPr>
                <w:rFonts w:ascii="宋体" w:hAnsi="宋体"/>
                <w:color w:val="auto"/>
                <w:kern w:val="0"/>
                <w:szCs w:val="21"/>
                <w:highlight w:val="none"/>
              </w:rPr>
              <w:t>是否接受联合体投标</w:t>
            </w:r>
          </w:p>
        </w:tc>
        <w:tc>
          <w:tcPr>
            <w:tcW w:w="6737" w:type="dxa"/>
            <w:vAlign w:val="center"/>
          </w:tcPr>
          <w:p w14:paraId="3C856924">
            <w:pPr>
              <w:snapToGrid w:val="0"/>
              <w:spacing w:line="400" w:lineRule="exact"/>
              <w:ind w:firstLine="420" w:firstLineChars="200"/>
              <w:rPr>
                <w:rFonts w:ascii="宋体" w:hAnsi="宋体"/>
                <w:color w:val="auto"/>
                <w:kern w:val="0"/>
                <w:szCs w:val="21"/>
                <w:highlight w:val="none"/>
              </w:rPr>
            </w:pPr>
            <w:r>
              <w:rPr>
                <w:rFonts w:ascii="宋体" w:hAnsi="宋体"/>
                <w:color w:val="auto"/>
                <w:kern w:val="0"/>
                <w:szCs w:val="21"/>
                <w:highlight w:val="none"/>
              </w:rPr>
              <w:t>不接受</w:t>
            </w:r>
          </w:p>
        </w:tc>
      </w:tr>
      <w:tr w14:paraId="03403C7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22" w:hRule="atLeast"/>
          <w:jc w:val="center"/>
        </w:trPr>
        <w:tc>
          <w:tcPr>
            <w:tcW w:w="1221" w:type="dxa"/>
            <w:shd w:val="clear" w:color="auto" w:fill="auto"/>
            <w:vAlign w:val="center"/>
          </w:tcPr>
          <w:p w14:paraId="0CA21412">
            <w:pPr>
              <w:pStyle w:val="421"/>
              <w:jc w:val="center"/>
              <w:rPr>
                <w:rFonts w:ascii="宋体" w:hAnsi="宋体" w:cs="宋体"/>
                <w:color w:val="auto"/>
                <w:highlight w:val="none"/>
              </w:rPr>
            </w:pPr>
            <w:r>
              <w:rPr>
                <w:rFonts w:hint="eastAsia" w:ascii="宋体" w:hAnsi="宋体" w:cs="宋体"/>
                <w:color w:val="auto"/>
                <w:highlight w:val="none"/>
              </w:rPr>
              <w:t>1.4.3</w:t>
            </w:r>
          </w:p>
        </w:tc>
        <w:tc>
          <w:tcPr>
            <w:tcW w:w="1610" w:type="dxa"/>
            <w:shd w:val="clear" w:color="auto" w:fill="auto"/>
            <w:vAlign w:val="center"/>
          </w:tcPr>
          <w:p w14:paraId="4E5AC6C5">
            <w:pPr>
              <w:pStyle w:val="421"/>
              <w:jc w:val="center"/>
              <w:rPr>
                <w:rFonts w:ascii="宋体" w:hAnsi="宋体" w:cs="宋体"/>
                <w:color w:val="auto"/>
                <w:szCs w:val="21"/>
                <w:highlight w:val="none"/>
              </w:rPr>
            </w:pPr>
            <w:r>
              <w:rPr>
                <w:rFonts w:hint="eastAsia" w:ascii="宋体" w:hAnsi="宋体" w:cs="宋体"/>
                <w:color w:val="auto"/>
                <w:szCs w:val="21"/>
                <w:highlight w:val="none"/>
              </w:rPr>
              <w:t>竞选人不得存在的其他情形</w:t>
            </w:r>
          </w:p>
        </w:tc>
        <w:tc>
          <w:tcPr>
            <w:tcW w:w="6737" w:type="dxa"/>
            <w:shd w:val="clear" w:color="auto" w:fill="auto"/>
          </w:tcPr>
          <w:p w14:paraId="3B9A721E">
            <w:pPr>
              <w:autoSpaceDE w:val="0"/>
              <w:autoSpaceDN w:val="0"/>
              <w:adjustRightInd w:val="0"/>
              <w:snapToGrid w:val="0"/>
              <w:spacing w:line="400" w:lineRule="exact"/>
              <w:ind w:firstLine="415" w:firstLineChars="198"/>
              <w:rPr>
                <w:rFonts w:ascii="宋体" w:hAnsi="宋体" w:cs="宋体"/>
                <w:color w:val="auto"/>
                <w:szCs w:val="21"/>
                <w:highlight w:val="none"/>
              </w:rPr>
            </w:pPr>
            <w:r>
              <w:rPr>
                <w:rFonts w:hint="eastAsia" w:ascii="宋体" w:hAnsi="宋体" w:cs="宋体"/>
                <w:color w:val="auto"/>
                <w:szCs w:val="21"/>
                <w:highlight w:val="none"/>
              </w:rPr>
              <w:t>竞选人不得存在下列情形之一：</w:t>
            </w:r>
          </w:p>
          <w:p w14:paraId="6988BE31">
            <w:pPr>
              <w:autoSpaceDE w:val="0"/>
              <w:autoSpaceDN w:val="0"/>
              <w:adjustRightInd w:val="0"/>
              <w:snapToGrid w:val="0"/>
              <w:spacing w:line="400" w:lineRule="exact"/>
              <w:ind w:firstLine="415" w:firstLineChars="198"/>
              <w:rPr>
                <w:rFonts w:ascii="宋体" w:hAnsi="宋体" w:cs="宋体"/>
                <w:color w:val="auto"/>
                <w:szCs w:val="21"/>
                <w:highlight w:val="none"/>
              </w:rPr>
            </w:pPr>
            <w:r>
              <w:rPr>
                <w:rFonts w:hint="eastAsia" w:ascii="宋体" w:hAnsi="宋体" w:cs="宋体"/>
                <w:color w:val="auto"/>
                <w:szCs w:val="21"/>
                <w:highlight w:val="none"/>
              </w:rPr>
              <w:t>（1）与比选人存在利害关系且可能影响项目比选公正性；</w:t>
            </w:r>
          </w:p>
          <w:p w14:paraId="3F36B139">
            <w:pPr>
              <w:autoSpaceDE w:val="0"/>
              <w:autoSpaceDN w:val="0"/>
              <w:adjustRightInd w:val="0"/>
              <w:snapToGrid w:val="0"/>
              <w:spacing w:line="400" w:lineRule="exact"/>
              <w:ind w:firstLine="415" w:firstLineChars="198"/>
              <w:rPr>
                <w:rFonts w:ascii="宋体" w:hAnsi="宋体" w:cs="宋体"/>
                <w:color w:val="auto"/>
                <w:szCs w:val="21"/>
                <w:highlight w:val="none"/>
              </w:rPr>
            </w:pPr>
            <w:r>
              <w:rPr>
                <w:rFonts w:hint="eastAsia" w:ascii="宋体" w:hAnsi="宋体" w:cs="宋体"/>
                <w:color w:val="auto"/>
                <w:szCs w:val="21"/>
                <w:highlight w:val="none"/>
              </w:rPr>
              <w:t>（2）与本竞争性比选项目的其他竞选人为同一个单位负责人；</w:t>
            </w:r>
          </w:p>
          <w:p w14:paraId="1C168DC7">
            <w:pPr>
              <w:autoSpaceDE w:val="0"/>
              <w:autoSpaceDN w:val="0"/>
              <w:adjustRightInd w:val="0"/>
              <w:snapToGrid w:val="0"/>
              <w:spacing w:line="400" w:lineRule="exact"/>
              <w:ind w:firstLine="415" w:firstLineChars="198"/>
              <w:rPr>
                <w:rFonts w:ascii="宋体" w:hAnsi="宋体" w:cs="宋体"/>
                <w:color w:val="auto"/>
                <w:szCs w:val="21"/>
                <w:highlight w:val="none"/>
              </w:rPr>
            </w:pPr>
            <w:r>
              <w:rPr>
                <w:rFonts w:hint="eastAsia" w:ascii="宋体" w:hAnsi="宋体" w:cs="宋体"/>
                <w:color w:val="auto"/>
                <w:szCs w:val="21"/>
                <w:highlight w:val="none"/>
              </w:rPr>
              <w:t>（3）与本竞争性比选项目的其他竞选人存在控股、管理关系；</w:t>
            </w:r>
          </w:p>
          <w:p w14:paraId="7856BC79">
            <w:pPr>
              <w:autoSpaceDE w:val="0"/>
              <w:autoSpaceDN w:val="0"/>
              <w:adjustRightInd w:val="0"/>
              <w:snapToGrid w:val="0"/>
              <w:spacing w:line="400" w:lineRule="exact"/>
              <w:ind w:firstLine="415" w:firstLineChars="198"/>
              <w:rPr>
                <w:rFonts w:ascii="宋体" w:hAnsi="宋体" w:cs="宋体"/>
                <w:color w:val="auto"/>
                <w:szCs w:val="21"/>
                <w:highlight w:val="none"/>
              </w:rPr>
            </w:pPr>
            <w:r>
              <w:rPr>
                <w:rFonts w:hint="eastAsia" w:ascii="宋体" w:hAnsi="宋体" w:cs="宋体"/>
                <w:color w:val="auto"/>
                <w:szCs w:val="21"/>
                <w:highlight w:val="none"/>
              </w:rPr>
              <w:t>（4）为本竞争性比选项目的比选代理机构；</w:t>
            </w:r>
          </w:p>
          <w:p w14:paraId="0D2E54C9">
            <w:pPr>
              <w:autoSpaceDE w:val="0"/>
              <w:autoSpaceDN w:val="0"/>
              <w:adjustRightInd w:val="0"/>
              <w:snapToGrid w:val="0"/>
              <w:spacing w:line="400" w:lineRule="exact"/>
              <w:ind w:firstLine="415" w:firstLineChars="198"/>
              <w:rPr>
                <w:rFonts w:ascii="宋体" w:hAnsi="宋体" w:cs="宋体"/>
                <w:color w:val="auto"/>
                <w:szCs w:val="21"/>
                <w:highlight w:val="none"/>
              </w:rPr>
            </w:pPr>
            <w:r>
              <w:rPr>
                <w:rFonts w:hint="eastAsia" w:ascii="宋体" w:hAnsi="宋体" w:cs="宋体"/>
                <w:color w:val="auto"/>
                <w:szCs w:val="21"/>
                <w:highlight w:val="none"/>
              </w:rPr>
              <w:t>（5）与本竞争性比选项目的比选代理机构同为一个法定代表人；</w:t>
            </w:r>
          </w:p>
          <w:p w14:paraId="1D0FECFC">
            <w:pPr>
              <w:autoSpaceDE w:val="0"/>
              <w:autoSpaceDN w:val="0"/>
              <w:adjustRightInd w:val="0"/>
              <w:snapToGrid w:val="0"/>
              <w:spacing w:line="400" w:lineRule="exact"/>
              <w:ind w:firstLine="415" w:firstLineChars="198"/>
              <w:rPr>
                <w:rFonts w:ascii="宋体" w:hAnsi="宋体" w:cs="宋体"/>
                <w:color w:val="auto"/>
                <w:szCs w:val="21"/>
                <w:highlight w:val="none"/>
              </w:rPr>
            </w:pPr>
            <w:r>
              <w:rPr>
                <w:rFonts w:hint="eastAsia" w:ascii="宋体" w:hAnsi="宋体" w:cs="宋体"/>
                <w:color w:val="auto"/>
                <w:szCs w:val="21"/>
                <w:highlight w:val="none"/>
              </w:rPr>
              <w:t>（6）与本竞争性比选项目的比选代理机构存在控股或参股关系；</w:t>
            </w:r>
          </w:p>
          <w:p w14:paraId="3290DA63">
            <w:pPr>
              <w:autoSpaceDE w:val="0"/>
              <w:autoSpaceDN w:val="0"/>
              <w:adjustRightInd w:val="0"/>
              <w:snapToGrid w:val="0"/>
              <w:spacing w:line="400" w:lineRule="exact"/>
              <w:ind w:firstLine="415" w:firstLineChars="198"/>
              <w:rPr>
                <w:rFonts w:ascii="宋体" w:hAnsi="宋体" w:cs="宋体"/>
                <w:color w:val="auto"/>
                <w:szCs w:val="21"/>
                <w:highlight w:val="none"/>
              </w:rPr>
            </w:pPr>
            <w:r>
              <w:rPr>
                <w:rFonts w:hint="eastAsia" w:ascii="宋体" w:hAnsi="宋体" w:cs="宋体"/>
                <w:color w:val="auto"/>
                <w:szCs w:val="21"/>
                <w:highlight w:val="none"/>
              </w:rPr>
              <w:t>（7）被依法暂停或者取消投标资格；</w:t>
            </w:r>
          </w:p>
          <w:p w14:paraId="0A6E8A8E">
            <w:pPr>
              <w:autoSpaceDE w:val="0"/>
              <w:autoSpaceDN w:val="0"/>
              <w:adjustRightInd w:val="0"/>
              <w:snapToGrid w:val="0"/>
              <w:spacing w:line="400" w:lineRule="exact"/>
              <w:ind w:firstLine="415" w:firstLineChars="198"/>
              <w:rPr>
                <w:rFonts w:ascii="宋体" w:hAnsi="宋体" w:cs="宋体"/>
                <w:color w:val="auto"/>
                <w:szCs w:val="21"/>
                <w:highlight w:val="none"/>
              </w:rPr>
            </w:pPr>
            <w:r>
              <w:rPr>
                <w:rFonts w:hint="eastAsia" w:ascii="宋体" w:hAnsi="宋体" w:cs="宋体"/>
                <w:color w:val="auto"/>
                <w:szCs w:val="21"/>
                <w:highlight w:val="none"/>
              </w:rPr>
              <w:t>（8）被责令停产停业、暂扣或者吊销许可证、暂扣或者吊销执照；</w:t>
            </w:r>
          </w:p>
          <w:p w14:paraId="2182FDEE">
            <w:pPr>
              <w:autoSpaceDE w:val="0"/>
              <w:autoSpaceDN w:val="0"/>
              <w:adjustRightInd w:val="0"/>
              <w:snapToGrid w:val="0"/>
              <w:spacing w:line="400" w:lineRule="exact"/>
              <w:ind w:firstLine="415" w:firstLineChars="198"/>
              <w:rPr>
                <w:rFonts w:ascii="宋体" w:hAnsi="宋体" w:cs="宋体"/>
                <w:color w:val="auto"/>
                <w:szCs w:val="21"/>
                <w:highlight w:val="none"/>
              </w:rPr>
            </w:pPr>
            <w:r>
              <w:rPr>
                <w:rFonts w:hint="eastAsia" w:ascii="宋体" w:hAnsi="宋体" w:cs="宋体"/>
                <w:color w:val="auto"/>
                <w:szCs w:val="21"/>
                <w:highlight w:val="none"/>
              </w:rPr>
              <w:t>（9）进入清算程序，或被宣告破产，或其他丧失履约能力的情形；</w:t>
            </w:r>
          </w:p>
          <w:p w14:paraId="12A5B299">
            <w:pPr>
              <w:autoSpaceDE w:val="0"/>
              <w:autoSpaceDN w:val="0"/>
              <w:adjustRightInd w:val="0"/>
              <w:snapToGrid w:val="0"/>
              <w:spacing w:line="400" w:lineRule="exact"/>
              <w:ind w:firstLine="415" w:firstLineChars="198"/>
              <w:rPr>
                <w:rFonts w:ascii="宋体" w:hAnsi="宋体" w:cs="宋体"/>
                <w:color w:val="auto"/>
                <w:szCs w:val="21"/>
                <w:highlight w:val="none"/>
              </w:rPr>
            </w:pPr>
            <w:r>
              <w:rPr>
                <w:rFonts w:hint="eastAsia" w:ascii="宋体" w:hAnsi="宋体" w:cs="宋体"/>
                <w:color w:val="auto"/>
                <w:szCs w:val="21"/>
                <w:highlight w:val="none"/>
              </w:rPr>
              <w:t>（10）在最近三年内发生重大服务质量问题（以相关行业主管部门的行政处罚决定或司法机关出具的有关法律文书为准）；</w:t>
            </w:r>
          </w:p>
          <w:p w14:paraId="2ABA48D9">
            <w:pPr>
              <w:autoSpaceDE w:val="0"/>
              <w:autoSpaceDN w:val="0"/>
              <w:adjustRightInd w:val="0"/>
              <w:snapToGrid w:val="0"/>
              <w:spacing w:line="400" w:lineRule="exact"/>
              <w:ind w:firstLine="415" w:firstLineChars="198"/>
              <w:rPr>
                <w:rFonts w:ascii="宋体" w:hAnsi="宋体" w:cs="宋体"/>
                <w:color w:val="auto"/>
                <w:szCs w:val="21"/>
                <w:highlight w:val="none"/>
              </w:rPr>
            </w:pPr>
            <w:r>
              <w:rPr>
                <w:rFonts w:hint="eastAsia" w:ascii="宋体" w:hAnsi="宋体" w:cs="宋体"/>
                <w:color w:val="auto"/>
                <w:szCs w:val="21"/>
                <w:highlight w:val="none"/>
              </w:rPr>
              <w:t>（11）法律法规或竞选人须知前附表规定的其他情形。</w:t>
            </w:r>
          </w:p>
        </w:tc>
      </w:tr>
      <w:tr w14:paraId="579C2EF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14" w:hRule="atLeast"/>
          <w:jc w:val="center"/>
        </w:trPr>
        <w:tc>
          <w:tcPr>
            <w:tcW w:w="1221" w:type="dxa"/>
            <w:vAlign w:val="center"/>
          </w:tcPr>
          <w:p w14:paraId="442595BB">
            <w:pPr>
              <w:snapToGrid w:val="0"/>
              <w:spacing w:line="400" w:lineRule="exact"/>
              <w:jc w:val="center"/>
              <w:rPr>
                <w:rFonts w:ascii="宋体" w:hAnsi="宋体"/>
                <w:color w:val="auto"/>
                <w:kern w:val="0"/>
                <w:szCs w:val="21"/>
                <w:highlight w:val="none"/>
              </w:rPr>
            </w:pPr>
            <w:r>
              <w:rPr>
                <w:rFonts w:ascii="宋体" w:hAnsi="宋体"/>
                <w:color w:val="auto"/>
                <w:kern w:val="0"/>
                <w:szCs w:val="21"/>
                <w:highlight w:val="none"/>
              </w:rPr>
              <w:t>1.</w:t>
            </w:r>
            <w:r>
              <w:rPr>
                <w:rFonts w:hint="eastAsia" w:ascii="宋体" w:hAnsi="宋体"/>
                <w:color w:val="auto"/>
                <w:kern w:val="0"/>
                <w:szCs w:val="21"/>
                <w:highlight w:val="none"/>
              </w:rPr>
              <w:t>9.1</w:t>
            </w:r>
          </w:p>
        </w:tc>
        <w:tc>
          <w:tcPr>
            <w:tcW w:w="1610" w:type="dxa"/>
            <w:vAlign w:val="center"/>
          </w:tcPr>
          <w:p w14:paraId="1C93CBDC">
            <w:pPr>
              <w:snapToGrid w:val="0"/>
              <w:spacing w:line="400" w:lineRule="exact"/>
              <w:jc w:val="center"/>
              <w:rPr>
                <w:rFonts w:ascii="宋体" w:hAnsi="宋体"/>
                <w:color w:val="auto"/>
                <w:kern w:val="0"/>
                <w:szCs w:val="21"/>
                <w:highlight w:val="none"/>
              </w:rPr>
            </w:pPr>
            <w:r>
              <w:rPr>
                <w:rFonts w:ascii="宋体" w:hAnsi="宋体"/>
                <w:color w:val="auto"/>
                <w:kern w:val="0"/>
                <w:szCs w:val="21"/>
                <w:highlight w:val="none"/>
              </w:rPr>
              <w:t>踏勘现场</w:t>
            </w:r>
          </w:p>
        </w:tc>
        <w:tc>
          <w:tcPr>
            <w:tcW w:w="6737" w:type="dxa"/>
            <w:vAlign w:val="center"/>
          </w:tcPr>
          <w:p w14:paraId="2EB0CDEC">
            <w:pPr>
              <w:snapToGrid w:val="0"/>
              <w:spacing w:line="400" w:lineRule="exact"/>
              <w:ind w:firstLine="420" w:firstLineChars="200"/>
              <w:rPr>
                <w:rFonts w:hint="default" w:ascii="宋体" w:hAnsi="宋体" w:eastAsia="宋体"/>
                <w:color w:val="auto"/>
                <w:kern w:val="0"/>
                <w:szCs w:val="21"/>
                <w:highlight w:val="none"/>
                <w:lang w:val="en-US" w:eastAsia="zh-CN"/>
              </w:rPr>
            </w:pPr>
            <w:r>
              <w:rPr>
                <w:rFonts w:ascii="宋体" w:hAnsi="宋体"/>
                <w:color w:val="auto"/>
                <w:kern w:val="0"/>
                <w:szCs w:val="21"/>
                <w:highlight w:val="none"/>
              </w:rPr>
              <w:t>不组织</w:t>
            </w:r>
            <w:r>
              <w:rPr>
                <w:rFonts w:hint="eastAsia" w:ascii="宋体" w:hAnsi="宋体"/>
                <w:color w:val="auto"/>
                <w:kern w:val="0"/>
                <w:szCs w:val="21"/>
                <w:highlight w:val="none"/>
                <w:lang w:eastAsia="zh-CN"/>
              </w:rPr>
              <w:t>，</w:t>
            </w:r>
            <w:r>
              <w:rPr>
                <w:rFonts w:hint="eastAsia" w:ascii="宋体" w:hAnsi="宋体"/>
                <w:color w:val="FF0000"/>
                <w:kern w:val="0"/>
                <w:szCs w:val="21"/>
                <w:highlight w:val="none"/>
                <w:lang w:val="en-US" w:eastAsia="zh-CN"/>
              </w:rPr>
              <w:t>投标人自行到现场踏勘</w:t>
            </w:r>
          </w:p>
        </w:tc>
      </w:tr>
      <w:tr w14:paraId="3AC354A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14" w:hRule="atLeast"/>
          <w:jc w:val="center"/>
        </w:trPr>
        <w:tc>
          <w:tcPr>
            <w:tcW w:w="1221" w:type="dxa"/>
            <w:vAlign w:val="center"/>
          </w:tcPr>
          <w:p w14:paraId="2F663145">
            <w:pPr>
              <w:snapToGrid w:val="0"/>
              <w:spacing w:line="400" w:lineRule="exact"/>
              <w:jc w:val="center"/>
              <w:rPr>
                <w:rFonts w:ascii="宋体" w:hAnsi="宋体"/>
                <w:color w:val="auto"/>
                <w:kern w:val="0"/>
                <w:szCs w:val="21"/>
                <w:highlight w:val="none"/>
              </w:rPr>
            </w:pPr>
            <w:r>
              <w:rPr>
                <w:rFonts w:ascii="宋体" w:hAnsi="宋体"/>
                <w:color w:val="auto"/>
                <w:kern w:val="0"/>
                <w:szCs w:val="21"/>
                <w:highlight w:val="none"/>
              </w:rPr>
              <w:t>1.</w:t>
            </w:r>
            <w:r>
              <w:rPr>
                <w:rFonts w:hint="eastAsia" w:ascii="宋体" w:hAnsi="宋体"/>
                <w:color w:val="auto"/>
                <w:kern w:val="0"/>
                <w:szCs w:val="21"/>
                <w:highlight w:val="none"/>
              </w:rPr>
              <w:t>10.1</w:t>
            </w:r>
          </w:p>
        </w:tc>
        <w:tc>
          <w:tcPr>
            <w:tcW w:w="1610" w:type="dxa"/>
            <w:vAlign w:val="center"/>
          </w:tcPr>
          <w:p w14:paraId="313E7CE0">
            <w:pPr>
              <w:snapToGrid w:val="0"/>
              <w:spacing w:line="400" w:lineRule="exact"/>
              <w:jc w:val="center"/>
              <w:rPr>
                <w:rFonts w:ascii="宋体" w:hAnsi="宋体"/>
                <w:color w:val="auto"/>
                <w:kern w:val="0"/>
                <w:szCs w:val="21"/>
                <w:highlight w:val="none"/>
              </w:rPr>
            </w:pPr>
            <w:r>
              <w:rPr>
                <w:rFonts w:ascii="宋体" w:hAnsi="宋体"/>
                <w:color w:val="auto"/>
                <w:kern w:val="0"/>
                <w:szCs w:val="21"/>
                <w:highlight w:val="none"/>
              </w:rPr>
              <w:t>投标预备会</w:t>
            </w:r>
          </w:p>
        </w:tc>
        <w:tc>
          <w:tcPr>
            <w:tcW w:w="6737" w:type="dxa"/>
            <w:vAlign w:val="center"/>
          </w:tcPr>
          <w:p w14:paraId="199C4C34">
            <w:pPr>
              <w:snapToGrid w:val="0"/>
              <w:spacing w:line="400" w:lineRule="exact"/>
              <w:ind w:firstLine="420" w:firstLineChars="200"/>
              <w:rPr>
                <w:rFonts w:ascii="宋体" w:hAnsi="宋体"/>
                <w:color w:val="auto"/>
                <w:kern w:val="0"/>
                <w:szCs w:val="21"/>
                <w:highlight w:val="none"/>
              </w:rPr>
            </w:pPr>
            <w:r>
              <w:rPr>
                <w:rFonts w:ascii="宋体" w:hAnsi="宋体"/>
                <w:color w:val="auto"/>
                <w:kern w:val="0"/>
                <w:szCs w:val="21"/>
                <w:highlight w:val="none"/>
              </w:rPr>
              <w:t>不召开</w:t>
            </w:r>
          </w:p>
        </w:tc>
      </w:tr>
      <w:tr w14:paraId="05D82D8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14" w:hRule="atLeast"/>
          <w:jc w:val="center"/>
        </w:trPr>
        <w:tc>
          <w:tcPr>
            <w:tcW w:w="1221" w:type="dxa"/>
            <w:vAlign w:val="center"/>
          </w:tcPr>
          <w:p w14:paraId="3BA22C29">
            <w:pPr>
              <w:snapToGrid w:val="0"/>
              <w:spacing w:line="400" w:lineRule="exact"/>
              <w:jc w:val="center"/>
              <w:rPr>
                <w:rFonts w:ascii="宋体" w:hAnsi="宋体"/>
                <w:color w:val="auto"/>
                <w:kern w:val="0"/>
                <w:szCs w:val="21"/>
                <w:highlight w:val="none"/>
              </w:rPr>
            </w:pPr>
            <w:r>
              <w:rPr>
                <w:rFonts w:ascii="宋体" w:hAnsi="宋体"/>
                <w:color w:val="auto"/>
                <w:kern w:val="0"/>
                <w:szCs w:val="21"/>
                <w:highlight w:val="none"/>
              </w:rPr>
              <w:t>1.</w:t>
            </w:r>
            <w:r>
              <w:rPr>
                <w:rFonts w:hint="eastAsia" w:ascii="宋体" w:hAnsi="宋体"/>
                <w:color w:val="auto"/>
                <w:kern w:val="0"/>
                <w:szCs w:val="21"/>
                <w:highlight w:val="none"/>
              </w:rPr>
              <w:t>11.1</w:t>
            </w:r>
          </w:p>
        </w:tc>
        <w:tc>
          <w:tcPr>
            <w:tcW w:w="1610" w:type="dxa"/>
            <w:vAlign w:val="center"/>
          </w:tcPr>
          <w:p w14:paraId="6ACB0EB7">
            <w:pPr>
              <w:snapToGrid w:val="0"/>
              <w:spacing w:line="400" w:lineRule="exact"/>
              <w:jc w:val="center"/>
              <w:rPr>
                <w:rFonts w:ascii="宋体" w:hAnsi="宋体"/>
                <w:color w:val="auto"/>
                <w:kern w:val="0"/>
                <w:szCs w:val="21"/>
                <w:highlight w:val="none"/>
              </w:rPr>
            </w:pPr>
            <w:r>
              <w:rPr>
                <w:rFonts w:ascii="宋体" w:hAnsi="宋体"/>
                <w:color w:val="auto"/>
                <w:kern w:val="0"/>
                <w:szCs w:val="21"/>
                <w:highlight w:val="none"/>
              </w:rPr>
              <w:t>分包</w:t>
            </w:r>
          </w:p>
        </w:tc>
        <w:tc>
          <w:tcPr>
            <w:tcW w:w="6737" w:type="dxa"/>
            <w:vAlign w:val="center"/>
          </w:tcPr>
          <w:p w14:paraId="5C7248D8">
            <w:pPr>
              <w:snapToGrid w:val="0"/>
              <w:spacing w:line="400" w:lineRule="exact"/>
              <w:ind w:firstLine="420" w:firstLineChars="200"/>
              <w:rPr>
                <w:rFonts w:ascii="宋体" w:hAnsi="宋体"/>
                <w:color w:val="auto"/>
                <w:kern w:val="0"/>
                <w:szCs w:val="21"/>
                <w:highlight w:val="none"/>
              </w:rPr>
            </w:pPr>
            <w:r>
              <w:rPr>
                <w:rFonts w:ascii="宋体" w:hAnsi="宋体"/>
                <w:color w:val="auto"/>
                <w:kern w:val="0"/>
                <w:szCs w:val="21"/>
                <w:highlight w:val="none"/>
              </w:rPr>
              <w:t>不允许</w:t>
            </w:r>
          </w:p>
        </w:tc>
      </w:tr>
      <w:tr w14:paraId="0654C46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28" w:hRule="atLeast"/>
          <w:jc w:val="center"/>
        </w:trPr>
        <w:tc>
          <w:tcPr>
            <w:tcW w:w="1221" w:type="dxa"/>
            <w:vAlign w:val="center"/>
          </w:tcPr>
          <w:p w14:paraId="4116EBFA">
            <w:pPr>
              <w:snapToGrid w:val="0"/>
              <w:spacing w:line="400" w:lineRule="exact"/>
              <w:jc w:val="center"/>
              <w:rPr>
                <w:rFonts w:ascii="宋体" w:hAnsi="宋体"/>
                <w:color w:val="auto"/>
                <w:kern w:val="0"/>
                <w:szCs w:val="21"/>
                <w:highlight w:val="none"/>
              </w:rPr>
            </w:pPr>
            <w:r>
              <w:rPr>
                <w:rFonts w:ascii="宋体" w:hAnsi="宋体"/>
                <w:color w:val="auto"/>
                <w:kern w:val="0"/>
                <w:szCs w:val="21"/>
                <w:highlight w:val="none"/>
              </w:rPr>
              <w:t>2.1</w:t>
            </w:r>
          </w:p>
        </w:tc>
        <w:tc>
          <w:tcPr>
            <w:tcW w:w="1610" w:type="dxa"/>
            <w:vAlign w:val="center"/>
          </w:tcPr>
          <w:p w14:paraId="2073827A">
            <w:pPr>
              <w:snapToGrid w:val="0"/>
              <w:spacing w:after="12" w:afterLines="5" w:line="400" w:lineRule="exact"/>
              <w:jc w:val="center"/>
              <w:rPr>
                <w:rFonts w:ascii="宋体" w:hAnsi="宋体"/>
                <w:color w:val="auto"/>
                <w:kern w:val="0"/>
                <w:szCs w:val="21"/>
                <w:highlight w:val="none"/>
              </w:rPr>
            </w:pPr>
            <w:r>
              <w:rPr>
                <w:rFonts w:ascii="宋体" w:hAnsi="宋体"/>
                <w:color w:val="auto"/>
                <w:kern w:val="0"/>
                <w:szCs w:val="21"/>
                <w:highlight w:val="none"/>
              </w:rPr>
              <w:t>构成</w:t>
            </w:r>
            <w:r>
              <w:rPr>
                <w:rFonts w:hint="eastAsia" w:ascii="宋体" w:hAnsi="宋体"/>
                <w:color w:val="auto"/>
                <w:kern w:val="0"/>
                <w:szCs w:val="21"/>
                <w:highlight w:val="none"/>
              </w:rPr>
              <w:t>比选</w:t>
            </w:r>
            <w:r>
              <w:rPr>
                <w:rFonts w:ascii="宋体" w:hAnsi="宋体"/>
                <w:color w:val="auto"/>
                <w:kern w:val="0"/>
                <w:szCs w:val="21"/>
                <w:highlight w:val="none"/>
              </w:rPr>
              <w:t>文件的其他材料</w:t>
            </w:r>
          </w:p>
        </w:tc>
        <w:tc>
          <w:tcPr>
            <w:tcW w:w="6737" w:type="dxa"/>
            <w:vAlign w:val="center"/>
          </w:tcPr>
          <w:p w14:paraId="154D4173">
            <w:pPr>
              <w:snapToGrid w:val="0"/>
              <w:spacing w:line="400" w:lineRule="exact"/>
              <w:ind w:firstLine="420" w:firstLineChars="200"/>
              <w:rPr>
                <w:rFonts w:ascii="宋体" w:hAnsi="宋体"/>
                <w:color w:val="auto"/>
                <w:szCs w:val="21"/>
                <w:highlight w:val="none"/>
              </w:rPr>
            </w:pPr>
            <w:r>
              <w:rPr>
                <w:rFonts w:hint="eastAsia" w:ascii="宋体" w:hAnsi="宋体"/>
                <w:color w:val="auto"/>
                <w:szCs w:val="21"/>
                <w:highlight w:val="none"/>
              </w:rPr>
              <w:t>比选</w:t>
            </w:r>
            <w:r>
              <w:rPr>
                <w:rFonts w:ascii="宋体" w:hAnsi="宋体"/>
                <w:color w:val="auto"/>
                <w:szCs w:val="21"/>
                <w:highlight w:val="none"/>
              </w:rPr>
              <w:t>人发出的答疑及补遗书</w:t>
            </w:r>
          </w:p>
        </w:tc>
      </w:tr>
      <w:tr w14:paraId="30F926A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470" w:hRule="atLeast"/>
          <w:jc w:val="center"/>
        </w:trPr>
        <w:tc>
          <w:tcPr>
            <w:tcW w:w="1221" w:type="dxa"/>
            <w:vAlign w:val="center"/>
          </w:tcPr>
          <w:p w14:paraId="441D421F">
            <w:pPr>
              <w:snapToGrid w:val="0"/>
              <w:spacing w:line="400" w:lineRule="exact"/>
              <w:jc w:val="center"/>
              <w:rPr>
                <w:rFonts w:ascii="宋体" w:hAnsi="宋体"/>
                <w:color w:val="auto"/>
                <w:kern w:val="0"/>
                <w:szCs w:val="21"/>
                <w:highlight w:val="none"/>
              </w:rPr>
            </w:pPr>
            <w:r>
              <w:rPr>
                <w:rFonts w:hint="eastAsia" w:ascii="宋体" w:hAnsi="宋体"/>
                <w:color w:val="auto"/>
                <w:kern w:val="0"/>
                <w:szCs w:val="21"/>
                <w:highlight w:val="none"/>
              </w:rPr>
              <w:t>2</w:t>
            </w:r>
            <w:r>
              <w:rPr>
                <w:rFonts w:ascii="宋体" w:hAnsi="宋体"/>
                <w:color w:val="auto"/>
                <w:kern w:val="0"/>
                <w:szCs w:val="21"/>
                <w:highlight w:val="none"/>
              </w:rPr>
              <w:t>.</w:t>
            </w:r>
            <w:r>
              <w:rPr>
                <w:rFonts w:hint="eastAsia" w:ascii="宋体" w:hAnsi="宋体"/>
                <w:color w:val="auto"/>
                <w:kern w:val="0"/>
                <w:szCs w:val="21"/>
                <w:highlight w:val="none"/>
              </w:rPr>
              <w:t>2</w:t>
            </w:r>
            <w:r>
              <w:rPr>
                <w:rFonts w:ascii="宋体" w:hAnsi="宋体"/>
                <w:color w:val="auto"/>
                <w:kern w:val="0"/>
                <w:szCs w:val="21"/>
                <w:highlight w:val="none"/>
              </w:rPr>
              <w:t>.</w:t>
            </w:r>
            <w:r>
              <w:rPr>
                <w:rFonts w:hint="eastAsia" w:ascii="宋体" w:hAnsi="宋体"/>
                <w:color w:val="auto"/>
                <w:kern w:val="0"/>
                <w:szCs w:val="21"/>
                <w:highlight w:val="none"/>
              </w:rPr>
              <w:t>1</w:t>
            </w:r>
          </w:p>
        </w:tc>
        <w:tc>
          <w:tcPr>
            <w:tcW w:w="1610" w:type="dxa"/>
            <w:tcBorders>
              <w:bottom w:val="single" w:color="auto" w:sz="4" w:space="0"/>
            </w:tcBorders>
            <w:vAlign w:val="center"/>
          </w:tcPr>
          <w:p w14:paraId="6E599141">
            <w:pPr>
              <w:snapToGrid w:val="0"/>
              <w:spacing w:line="400" w:lineRule="exact"/>
              <w:jc w:val="center"/>
              <w:rPr>
                <w:rFonts w:ascii="宋体" w:hAnsi="宋体"/>
                <w:color w:val="auto"/>
                <w:kern w:val="0"/>
                <w:szCs w:val="21"/>
                <w:highlight w:val="none"/>
              </w:rPr>
            </w:pPr>
            <w:r>
              <w:rPr>
                <w:rFonts w:hint="eastAsia" w:ascii="宋体" w:hAnsi="宋体"/>
                <w:color w:val="auto"/>
                <w:kern w:val="0"/>
                <w:szCs w:val="21"/>
                <w:highlight w:val="none"/>
              </w:rPr>
              <w:t>竞选人</w:t>
            </w:r>
            <w:r>
              <w:rPr>
                <w:rFonts w:ascii="宋体" w:hAnsi="宋体"/>
                <w:color w:val="auto"/>
                <w:kern w:val="0"/>
                <w:szCs w:val="21"/>
                <w:highlight w:val="none"/>
              </w:rPr>
              <w:t>对招标文件提出</w:t>
            </w:r>
            <w:r>
              <w:rPr>
                <w:rFonts w:hint="eastAsia" w:ascii="宋体" w:hAnsi="宋体"/>
                <w:color w:val="auto"/>
                <w:kern w:val="0"/>
                <w:szCs w:val="21"/>
                <w:highlight w:val="none"/>
              </w:rPr>
              <w:t>疑问</w:t>
            </w:r>
            <w:r>
              <w:rPr>
                <w:rFonts w:ascii="宋体" w:hAnsi="宋体"/>
                <w:color w:val="auto"/>
                <w:kern w:val="0"/>
                <w:szCs w:val="21"/>
                <w:highlight w:val="none"/>
              </w:rPr>
              <w:t>的截止时间</w:t>
            </w:r>
          </w:p>
        </w:tc>
        <w:tc>
          <w:tcPr>
            <w:tcW w:w="6737" w:type="dxa"/>
            <w:vAlign w:val="center"/>
          </w:tcPr>
          <w:p w14:paraId="5A9112EE">
            <w:pPr>
              <w:snapToGrid w:val="0"/>
              <w:spacing w:line="320" w:lineRule="exact"/>
              <w:ind w:firstLine="420" w:firstLineChars="200"/>
              <w:rPr>
                <w:rFonts w:ascii="宋体" w:hAnsi="宋体"/>
                <w:color w:val="auto"/>
                <w:kern w:val="0"/>
                <w:szCs w:val="21"/>
                <w:highlight w:val="none"/>
              </w:rPr>
            </w:pPr>
            <w:r>
              <w:rPr>
                <w:rFonts w:hint="eastAsia" w:ascii="宋体" w:hAnsi="宋体" w:cs="宋体"/>
                <w:color w:val="auto"/>
                <w:szCs w:val="21"/>
                <w:highlight w:val="none"/>
                <w:u w:val="single"/>
                <w:lang w:eastAsia="zh-CN"/>
              </w:rPr>
              <w:t>2025年</w:t>
            </w:r>
            <w:r>
              <w:rPr>
                <w:rFonts w:hint="eastAsia" w:ascii="宋体" w:hAnsi="宋体" w:cs="宋体"/>
                <w:color w:val="auto"/>
                <w:szCs w:val="21"/>
                <w:highlight w:val="none"/>
                <w:u w:val="single"/>
                <w:lang w:val="en-US" w:eastAsia="zh-CN"/>
              </w:rPr>
              <w:t>12</w:t>
            </w:r>
            <w:r>
              <w:rPr>
                <w:rFonts w:hint="eastAsia" w:ascii="宋体" w:hAnsi="宋体" w:cs="宋体"/>
                <w:color w:val="auto"/>
                <w:szCs w:val="21"/>
                <w:highlight w:val="none"/>
              </w:rPr>
              <w:t>月</w:t>
            </w:r>
            <w:r>
              <w:rPr>
                <w:rFonts w:hint="eastAsia" w:ascii="宋体" w:hAnsi="宋体" w:cs="宋体"/>
                <w:color w:val="auto"/>
                <w:szCs w:val="21"/>
                <w:highlight w:val="none"/>
                <w:u w:val="single"/>
                <w:lang w:val="en-US" w:eastAsia="zh-CN"/>
              </w:rPr>
              <w:t>16</w:t>
            </w:r>
            <w:r>
              <w:rPr>
                <w:rFonts w:hint="eastAsia" w:ascii="宋体" w:hAnsi="宋体" w:cs="宋体"/>
                <w:color w:val="auto"/>
                <w:szCs w:val="21"/>
                <w:highlight w:val="none"/>
              </w:rPr>
              <w:t>日</w:t>
            </w:r>
            <w:r>
              <w:rPr>
                <w:rFonts w:hint="eastAsia" w:ascii="宋体" w:hAnsi="宋体" w:cs="宋体"/>
                <w:color w:val="auto"/>
                <w:szCs w:val="21"/>
                <w:highlight w:val="none"/>
                <w:u w:val="single"/>
              </w:rPr>
              <w:t xml:space="preserve"> 12 </w:t>
            </w:r>
            <w:r>
              <w:rPr>
                <w:rFonts w:hint="eastAsia" w:ascii="宋体" w:hAnsi="宋体" w:cs="宋体"/>
                <w:color w:val="auto"/>
                <w:szCs w:val="21"/>
                <w:highlight w:val="none"/>
              </w:rPr>
              <w:t>时</w:t>
            </w:r>
            <w:r>
              <w:rPr>
                <w:rFonts w:hint="eastAsia" w:ascii="宋体" w:hAnsi="宋体" w:cs="宋体"/>
                <w:color w:val="auto"/>
                <w:szCs w:val="21"/>
                <w:highlight w:val="none"/>
                <w:u w:val="single"/>
              </w:rPr>
              <w:t xml:space="preserve"> 00 </w:t>
            </w:r>
            <w:r>
              <w:rPr>
                <w:rFonts w:hint="eastAsia" w:ascii="宋体" w:hAnsi="宋体" w:cs="宋体"/>
                <w:color w:val="auto"/>
                <w:szCs w:val="21"/>
                <w:highlight w:val="none"/>
              </w:rPr>
              <w:t>分前以</w:t>
            </w:r>
            <w:r>
              <w:rPr>
                <w:rFonts w:hint="eastAsia" w:ascii="宋体" w:hAnsi="宋体" w:cs="宋体"/>
                <w:color w:val="auto"/>
                <w:szCs w:val="21"/>
                <w:highlight w:val="none"/>
                <w:lang w:val="en-US" w:eastAsia="zh-CN"/>
              </w:rPr>
              <w:t>扫描件</w:t>
            </w:r>
            <w:r>
              <w:rPr>
                <w:rFonts w:hint="eastAsia" w:ascii="宋体" w:hAnsi="宋体" w:cs="宋体"/>
                <w:color w:val="auto"/>
                <w:szCs w:val="21"/>
                <w:highlight w:val="none"/>
              </w:rPr>
              <w:t>形式提交</w:t>
            </w:r>
            <w:r>
              <w:rPr>
                <w:rFonts w:hint="eastAsia" w:ascii="宋体" w:hAnsi="宋体" w:cs="宋体"/>
                <w:color w:val="auto"/>
                <w:szCs w:val="21"/>
                <w:highlight w:val="none"/>
                <w:lang w:val="en-US" w:eastAsia="zh-CN"/>
              </w:rPr>
              <w:t>比选人或</w:t>
            </w:r>
            <w:r>
              <w:rPr>
                <w:rFonts w:hint="eastAsia" w:ascii="宋体" w:hAnsi="宋体" w:cs="宋体"/>
                <w:color w:val="auto"/>
                <w:szCs w:val="21"/>
                <w:highlight w:val="none"/>
              </w:rPr>
              <w:t>代理机构（QQ邮箱：</w:t>
            </w:r>
            <w:r>
              <w:rPr>
                <w:rFonts w:hint="eastAsia" w:ascii="宋体" w:hAnsi="宋体" w:cs="宋体"/>
                <w:color w:val="auto"/>
                <w:szCs w:val="21"/>
                <w:highlight w:val="none"/>
                <w:lang w:val="en-US" w:eastAsia="zh-CN"/>
              </w:rPr>
              <w:t>350032570</w:t>
            </w:r>
            <w:r>
              <w:rPr>
                <w:rFonts w:hint="eastAsia" w:ascii="宋体" w:hAnsi="宋体" w:cs="宋体"/>
                <w:color w:val="auto"/>
                <w:szCs w:val="21"/>
                <w:highlight w:val="none"/>
              </w:rPr>
              <w:t>@qq.com）。</w:t>
            </w:r>
          </w:p>
        </w:tc>
      </w:tr>
      <w:tr w14:paraId="2530905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30" w:hRule="atLeast"/>
          <w:jc w:val="center"/>
        </w:trPr>
        <w:tc>
          <w:tcPr>
            <w:tcW w:w="1221" w:type="dxa"/>
            <w:vMerge w:val="restart"/>
            <w:vAlign w:val="center"/>
          </w:tcPr>
          <w:p w14:paraId="6F915213">
            <w:pPr>
              <w:snapToGrid w:val="0"/>
              <w:spacing w:line="400" w:lineRule="exact"/>
              <w:jc w:val="center"/>
              <w:rPr>
                <w:rFonts w:ascii="宋体" w:hAnsi="宋体"/>
                <w:color w:val="auto"/>
                <w:kern w:val="0"/>
                <w:szCs w:val="21"/>
                <w:highlight w:val="none"/>
              </w:rPr>
            </w:pPr>
            <w:r>
              <w:rPr>
                <w:rFonts w:ascii="宋体" w:hAnsi="宋体"/>
                <w:color w:val="auto"/>
                <w:kern w:val="0"/>
                <w:szCs w:val="21"/>
                <w:highlight w:val="none"/>
              </w:rPr>
              <w:t>2.2.2</w:t>
            </w:r>
          </w:p>
        </w:tc>
        <w:tc>
          <w:tcPr>
            <w:tcW w:w="1610" w:type="dxa"/>
            <w:tcBorders>
              <w:top w:val="single" w:color="auto" w:sz="4" w:space="0"/>
            </w:tcBorders>
            <w:vAlign w:val="center"/>
          </w:tcPr>
          <w:p w14:paraId="2409755E">
            <w:pPr>
              <w:snapToGrid w:val="0"/>
              <w:spacing w:line="400" w:lineRule="exact"/>
              <w:jc w:val="center"/>
              <w:rPr>
                <w:rFonts w:ascii="宋体" w:hAnsi="宋体"/>
                <w:color w:val="auto"/>
                <w:kern w:val="0"/>
                <w:szCs w:val="21"/>
                <w:highlight w:val="none"/>
              </w:rPr>
            </w:pPr>
            <w:r>
              <w:rPr>
                <w:rFonts w:hint="eastAsia" w:ascii="宋体" w:hAnsi="宋体"/>
                <w:color w:val="auto"/>
                <w:kern w:val="0"/>
                <w:szCs w:val="21"/>
                <w:highlight w:val="none"/>
              </w:rPr>
              <w:t>比选</w:t>
            </w:r>
            <w:r>
              <w:rPr>
                <w:rFonts w:ascii="宋体" w:hAnsi="宋体"/>
                <w:color w:val="auto"/>
                <w:kern w:val="0"/>
                <w:szCs w:val="21"/>
                <w:highlight w:val="none"/>
              </w:rPr>
              <w:t>人对</w:t>
            </w:r>
            <w:r>
              <w:rPr>
                <w:rFonts w:hint="eastAsia" w:ascii="宋体" w:hAnsi="宋体"/>
                <w:color w:val="auto"/>
                <w:kern w:val="0"/>
                <w:szCs w:val="21"/>
                <w:highlight w:val="none"/>
              </w:rPr>
              <w:t>比选</w:t>
            </w:r>
            <w:r>
              <w:rPr>
                <w:rFonts w:ascii="宋体" w:hAnsi="宋体"/>
                <w:color w:val="auto"/>
                <w:kern w:val="0"/>
                <w:szCs w:val="21"/>
                <w:highlight w:val="none"/>
              </w:rPr>
              <w:t>文件答疑的截止时间</w:t>
            </w:r>
          </w:p>
        </w:tc>
        <w:tc>
          <w:tcPr>
            <w:tcW w:w="6737" w:type="dxa"/>
            <w:vAlign w:val="center"/>
          </w:tcPr>
          <w:p w14:paraId="63FF2863">
            <w:pPr>
              <w:snapToGrid w:val="0"/>
              <w:spacing w:line="320" w:lineRule="exact"/>
              <w:ind w:firstLine="420" w:firstLineChars="200"/>
              <w:rPr>
                <w:rFonts w:ascii="宋体" w:hAnsi="宋体"/>
                <w:snapToGrid w:val="0"/>
                <w:color w:val="auto"/>
                <w:kern w:val="0"/>
                <w:szCs w:val="21"/>
                <w:highlight w:val="none"/>
              </w:rPr>
            </w:pPr>
            <w:r>
              <w:rPr>
                <w:rFonts w:hint="eastAsia" w:ascii="宋体" w:hAnsi="宋体" w:cs="宋体"/>
                <w:color w:val="auto"/>
                <w:szCs w:val="21"/>
                <w:highlight w:val="none"/>
                <w:u w:val="single"/>
              </w:rPr>
              <w:t xml:space="preserve"> </w:t>
            </w:r>
            <w:r>
              <w:rPr>
                <w:rFonts w:hint="eastAsia" w:ascii="宋体" w:hAnsi="宋体" w:cs="宋体"/>
                <w:color w:val="auto"/>
                <w:szCs w:val="21"/>
                <w:highlight w:val="none"/>
                <w:u w:val="single"/>
                <w:lang w:eastAsia="zh-CN"/>
              </w:rPr>
              <w:t>2025年</w:t>
            </w:r>
            <w:r>
              <w:rPr>
                <w:rFonts w:hint="eastAsia" w:ascii="宋体" w:hAnsi="宋体" w:cs="宋体"/>
                <w:color w:val="auto"/>
                <w:szCs w:val="21"/>
                <w:highlight w:val="none"/>
                <w:u w:val="single"/>
                <w:lang w:val="en-US" w:eastAsia="zh-CN"/>
              </w:rPr>
              <w:t>12</w:t>
            </w:r>
            <w:r>
              <w:rPr>
                <w:rFonts w:hint="eastAsia" w:ascii="宋体" w:hAnsi="宋体" w:cs="宋体"/>
                <w:color w:val="auto"/>
                <w:szCs w:val="21"/>
                <w:highlight w:val="none"/>
              </w:rPr>
              <w:t>月</w:t>
            </w:r>
            <w:r>
              <w:rPr>
                <w:rFonts w:hint="eastAsia" w:ascii="宋体" w:hAnsi="宋体" w:cs="宋体"/>
                <w:color w:val="auto"/>
                <w:szCs w:val="21"/>
                <w:highlight w:val="none"/>
                <w:u w:val="single"/>
                <w:lang w:val="en-US" w:eastAsia="zh-CN"/>
              </w:rPr>
              <w:t xml:space="preserve"> 16</w:t>
            </w:r>
            <w:r>
              <w:rPr>
                <w:rFonts w:hint="eastAsia" w:ascii="宋体" w:hAnsi="宋体" w:cs="宋体"/>
                <w:color w:val="auto"/>
                <w:szCs w:val="21"/>
                <w:highlight w:val="none"/>
              </w:rPr>
              <w:t>日</w:t>
            </w:r>
            <w:r>
              <w:rPr>
                <w:rFonts w:hint="eastAsia" w:ascii="宋体" w:hAnsi="宋体" w:cs="宋体"/>
                <w:color w:val="auto"/>
                <w:szCs w:val="21"/>
                <w:highlight w:val="none"/>
                <w:u w:val="single"/>
              </w:rPr>
              <w:t xml:space="preserve"> 17 </w:t>
            </w:r>
            <w:r>
              <w:rPr>
                <w:rFonts w:hint="eastAsia" w:ascii="宋体" w:hAnsi="宋体" w:cs="宋体"/>
                <w:color w:val="auto"/>
                <w:szCs w:val="21"/>
                <w:highlight w:val="none"/>
              </w:rPr>
              <w:t xml:space="preserve">时 </w:t>
            </w:r>
            <w:r>
              <w:rPr>
                <w:rFonts w:hint="eastAsia" w:ascii="宋体" w:hAnsi="宋体" w:cs="宋体"/>
                <w:color w:val="auto"/>
                <w:szCs w:val="21"/>
                <w:highlight w:val="none"/>
                <w:u w:val="single"/>
              </w:rPr>
              <w:t xml:space="preserve"> </w:t>
            </w:r>
            <w:r>
              <w:rPr>
                <w:rFonts w:hint="eastAsia" w:ascii="宋体" w:hAnsi="宋体" w:cs="宋体"/>
                <w:color w:val="auto"/>
                <w:szCs w:val="21"/>
                <w:highlight w:val="none"/>
                <w:u w:val="single"/>
                <w:lang w:val="en-US" w:eastAsia="zh-CN"/>
              </w:rPr>
              <w:t>0</w:t>
            </w:r>
            <w:r>
              <w:rPr>
                <w:rFonts w:hint="eastAsia" w:ascii="宋体" w:hAnsi="宋体" w:cs="宋体"/>
                <w:color w:val="auto"/>
                <w:szCs w:val="21"/>
                <w:highlight w:val="none"/>
                <w:u w:val="single"/>
              </w:rPr>
              <w:t xml:space="preserve">0 </w:t>
            </w:r>
            <w:r>
              <w:rPr>
                <w:rFonts w:hint="eastAsia" w:ascii="宋体" w:hAnsi="宋体" w:cs="宋体"/>
                <w:color w:val="auto"/>
                <w:szCs w:val="21"/>
                <w:highlight w:val="none"/>
              </w:rPr>
              <w:t>分</w:t>
            </w:r>
            <w:r>
              <w:rPr>
                <w:rFonts w:hint="eastAsia" w:ascii="宋体" w:hAnsi="宋体" w:cs="宋体"/>
                <w:color w:val="auto"/>
                <w:kern w:val="0"/>
                <w:szCs w:val="21"/>
                <w:highlight w:val="none"/>
              </w:rPr>
              <w:t>前。</w:t>
            </w:r>
          </w:p>
        </w:tc>
      </w:tr>
      <w:tr w14:paraId="4BCA1F7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22" w:hRule="atLeast"/>
          <w:jc w:val="center"/>
        </w:trPr>
        <w:tc>
          <w:tcPr>
            <w:tcW w:w="1221" w:type="dxa"/>
            <w:vMerge w:val="continue"/>
            <w:vAlign w:val="center"/>
          </w:tcPr>
          <w:p w14:paraId="763F904A">
            <w:pPr>
              <w:snapToGrid w:val="0"/>
              <w:spacing w:line="400" w:lineRule="exact"/>
              <w:jc w:val="center"/>
              <w:rPr>
                <w:rFonts w:ascii="宋体" w:hAnsi="宋体"/>
                <w:color w:val="auto"/>
                <w:kern w:val="0"/>
                <w:szCs w:val="21"/>
                <w:highlight w:val="none"/>
              </w:rPr>
            </w:pPr>
          </w:p>
        </w:tc>
        <w:tc>
          <w:tcPr>
            <w:tcW w:w="1610" w:type="dxa"/>
            <w:vAlign w:val="center"/>
          </w:tcPr>
          <w:p w14:paraId="1FADF748">
            <w:pPr>
              <w:snapToGrid w:val="0"/>
              <w:spacing w:line="400" w:lineRule="exact"/>
              <w:jc w:val="center"/>
              <w:rPr>
                <w:rFonts w:ascii="宋体" w:hAnsi="宋体"/>
                <w:color w:val="auto"/>
                <w:kern w:val="0"/>
                <w:szCs w:val="21"/>
                <w:highlight w:val="none"/>
              </w:rPr>
            </w:pPr>
            <w:r>
              <w:rPr>
                <w:rFonts w:hint="eastAsia" w:ascii="宋体" w:hAnsi="宋体"/>
                <w:color w:val="auto"/>
                <w:kern w:val="0"/>
                <w:szCs w:val="21"/>
                <w:highlight w:val="none"/>
              </w:rPr>
              <w:t>竞选截止时间</w:t>
            </w:r>
          </w:p>
        </w:tc>
        <w:tc>
          <w:tcPr>
            <w:tcW w:w="6737" w:type="dxa"/>
            <w:vAlign w:val="center"/>
          </w:tcPr>
          <w:p w14:paraId="02B24DA8">
            <w:pPr>
              <w:snapToGrid w:val="0"/>
              <w:spacing w:line="400" w:lineRule="exact"/>
              <w:rPr>
                <w:rFonts w:ascii="宋体" w:hAnsi="宋体"/>
                <w:color w:val="auto"/>
                <w:szCs w:val="21"/>
                <w:highlight w:val="none"/>
                <w:u w:val="single"/>
              </w:rPr>
            </w:pPr>
            <w:r>
              <w:rPr>
                <w:rFonts w:hint="eastAsia" w:ascii="宋体" w:hAnsi="宋体"/>
                <w:snapToGrid w:val="0"/>
                <w:color w:val="auto"/>
                <w:kern w:val="0"/>
                <w:szCs w:val="21"/>
                <w:highlight w:val="none"/>
              </w:rPr>
              <w:t>竞选截止时间：</w:t>
            </w:r>
            <w:r>
              <w:rPr>
                <w:rFonts w:ascii="宋体" w:hAnsi="宋体"/>
                <w:color w:val="auto"/>
                <w:szCs w:val="21"/>
                <w:highlight w:val="none"/>
                <w:u w:val="single"/>
              </w:rPr>
              <w:t xml:space="preserve"> </w:t>
            </w:r>
            <w:r>
              <w:rPr>
                <w:rFonts w:hint="eastAsia" w:ascii="宋体" w:hAnsi="宋体"/>
                <w:color w:val="auto"/>
                <w:szCs w:val="21"/>
                <w:highlight w:val="none"/>
                <w:u w:val="single"/>
                <w:lang w:eastAsia="zh-CN"/>
              </w:rPr>
              <w:t>2025年</w:t>
            </w:r>
            <w:r>
              <w:rPr>
                <w:rFonts w:hint="eastAsia" w:ascii="宋体" w:hAnsi="宋体"/>
                <w:color w:val="auto"/>
                <w:szCs w:val="21"/>
                <w:highlight w:val="none"/>
                <w:u w:val="single"/>
                <w:lang w:val="en-US" w:eastAsia="zh-CN"/>
              </w:rPr>
              <w:t>12</w:t>
            </w:r>
            <w:r>
              <w:rPr>
                <w:rFonts w:ascii="宋体" w:hAnsi="宋体"/>
                <w:color w:val="auto"/>
                <w:szCs w:val="21"/>
                <w:highlight w:val="none"/>
              </w:rPr>
              <w:t>月</w:t>
            </w:r>
            <w:r>
              <w:rPr>
                <w:rFonts w:hint="eastAsia" w:ascii="宋体" w:hAnsi="宋体"/>
                <w:color w:val="auto"/>
                <w:szCs w:val="21"/>
                <w:highlight w:val="none"/>
                <w:u w:val="single"/>
                <w:lang w:val="en-US" w:eastAsia="zh-CN"/>
              </w:rPr>
              <w:t>17</w:t>
            </w:r>
            <w:r>
              <w:rPr>
                <w:rFonts w:ascii="宋体" w:hAnsi="宋体"/>
                <w:color w:val="auto"/>
                <w:szCs w:val="21"/>
                <w:highlight w:val="none"/>
              </w:rPr>
              <w:t>日</w:t>
            </w:r>
            <w:r>
              <w:rPr>
                <w:rFonts w:hint="eastAsia" w:ascii="宋体" w:hAnsi="宋体"/>
                <w:color w:val="auto"/>
                <w:szCs w:val="21"/>
                <w:highlight w:val="none"/>
                <w:u w:val="single"/>
              </w:rPr>
              <w:t xml:space="preserve"> </w:t>
            </w:r>
            <w:r>
              <w:rPr>
                <w:rFonts w:hint="eastAsia" w:ascii="宋体" w:hAnsi="宋体"/>
                <w:color w:val="auto"/>
                <w:szCs w:val="21"/>
                <w:highlight w:val="none"/>
                <w:u w:val="single"/>
                <w:lang w:val="en-US" w:eastAsia="zh-CN"/>
              </w:rPr>
              <w:t>09</w:t>
            </w:r>
            <w:r>
              <w:rPr>
                <w:rFonts w:hint="eastAsia" w:ascii="宋体" w:hAnsi="宋体"/>
                <w:color w:val="auto"/>
                <w:szCs w:val="21"/>
                <w:highlight w:val="none"/>
              </w:rPr>
              <w:t>时</w:t>
            </w:r>
            <w:r>
              <w:rPr>
                <w:rFonts w:hint="eastAsia" w:ascii="宋体" w:hAnsi="宋体"/>
                <w:color w:val="auto"/>
                <w:szCs w:val="21"/>
                <w:highlight w:val="none"/>
                <w:u w:val="single"/>
              </w:rPr>
              <w:t xml:space="preserve"> </w:t>
            </w:r>
            <w:r>
              <w:rPr>
                <w:rFonts w:hint="eastAsia" w:ascii="宋体" w:hAnsi="宋体"/>
                <w:color w:val="auto"/>
                <w:szCs w:val="21"/>
                <w:highlight w:val="none"/>
                <w:u w:val="single"/>
                <w:lang w:val="en-US" w:eastAsia="zh-CN"/>
              </w:rPr>
              <w:t>3</w:t>
            </w:r>
            <w:r>
              <w:rPr>
                <w:rFonts w:hint="eastAsia" w:ascii="宋体" w:hAnsi="宋体"/>
                <w:color w:val="auto"/>
                <w:szCs w:val="21"/>
                <w:highlight w:val="none"/>
                <w:u w:val="single"/>
              </w:rPr>
              <w:t xml:space="preserve">0  </w:t>
            </w:r>
            <w:r>
              <w:rPr>
                <w:rFonts w:hint="eastAsia" w:ascii="宋体" w:hAnsi="宋体"/>
                <w:color w:val="auto"/>
                <w:szCs w:val="21"/>
                <w:highlight w:val="none"/>
              </w:rPr>
              <w:t xml:space="preserve"> 分</w:t>
            </w:r>
            <w:r>
              <w:rPr>
                <w:rFonts w:ascii="宋体" w:hAnsi="宋体"/>
                <w:color w:val="auto"/>
                <w:szCs w:val="21"/>
                <w:highlight w:val="none"/>
              </w:rPr>
              <w:t>（北京时间）</w:t>
            </w:r>
          </w:p>
        </w:tc>
      </w:tr>
      <w:tr w14:paraId="0AEEA8F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34" w:hRule="atLeast"/>
          <w:jc w:val="center"/>
        </w:trPr>
        <w:tc>
          <w:tcPr>
            <w:tcW w:w="1221" w:type="dxa"/>
            <w:vAlign w:val="center"/>
          </w:tcPr>
          <w:p w14:paraId="0369F6A5">
            <w:pPr>
              <w:snapToGrid w:val="0"/>
              <w:spacing w:line="400" w:lineRule="exact"/>
              <w:jc w:val="center"/>
              <w:rPr>
                <w:rFonts w:ascii="宋体" w:hAnsi="宋体"/>
                <w:color w:val="auto"/>
                <w:kern w:val="0"/>
                <w:szCs w:val="21"/>
                <w:highlight w:val="none"/>
              </w:rPr>
            </w:pPr>
            <w:r>
              <w:rPr>
                <w:rFonts w:ascii="宋体" w:hAnsi="宋体"/>
                <w:color w:val="auto"/>
                <w:kern w:val="0"/>
                <w:szCs w:val="21"/>
                <w:highlight w:val="none"/>
              </w:rPr>
              <w:t>3.1.1</w:t>
            </w:r>
          </w:p>
        </w:tc>
        <w:tc>
          <w:tcPr>
            <w:tcW w:w="1610" w:type="dxa"/>
            <w:vAlign w:val="center"/>
          </w:tcPr>
          <w:p w14:paraId="62902499">
            <w:pPr>
              <w:snapToGrid w:val="0"/>
              <w:spacing w:after="24" w:afterLines="10" w:line="400" w:lineRule="exact"/>
              <w:jc w:val="center"/>
              <w:rPr>
                <w:rFonts w:ascii="宋体" w:hAnsi="宋体"/>
                <w:color w:val="auto"/>
                <w:kern w:val="0"/>
                <w:szCs w:val="21"/>
                <w:highlight w:val="none"/>
              </w:rPr>
            </w:pPr>
            <w:r>
              <w:rPr>
                <w:rFonts w:ascii="宋体" w:hAnsi="宋体"/>
                <w:color w:val="auto"/>
                <w:kern w:val="0"/>
                <w:szCs w:val="21"/>
                <w:highlight w:val="none"/>
              </w:rPr>
              <w:t>构成</w:t>
            </w:r>
            <w:r>
              <w:rPr>
                <w:rFonts w:hint="eastAsia" w:ascii="宋体" w:hAnsi="宋体"/>
                <w:color w:val="auto"/>
                <w:kern w:val="0"/>
                <w:szCs w:val="21"/>
                <w:highlight w:val="none"/>
              </w:rPr>
              <w:t>竞选</w:t>
            </w:r>
            <w:r>
              <w:rPr>
                <w:rFonts w:ascii="宋体" w:hAnsi="宋体"/>
                <w:color w:val="auto"/>
                <w:kern w:val="0"/>
                <w:szCs w:val="21"/>
                <w:highlight w:val="none"/>
              </w:rPr>
              <w:t>文件的其他材料</w:t>
            </w:r>
          </w:p>
        </w:tc>
        <w:tc>
          <w:tcPr>
            <w:tcW w:w="6737" w:type="dxa"/>
            <w:vAlign w:val="center"/>
          </w:tcPr>
          <w:p w14:paraId="5D9C4EEB">
            <w:pPr>
              <w:snapToGrid w:val="0"/>
              <w:spacing w:line="400" w:lineRule="exact"/>
              <w:ind w:firstLine="420" w:firstLineChars="200"/>
              <w:rPr>
                <w:rFonts w:ascii="宋体" w:hAnsi="宋体"/>
                <w:color w:val="auto"/>
                <w:szCs w:val="21"/>
                <w:highlight w:val="none"/>
              </w:rPr>
            </w:pPr>
            <w:r>
              <w:rPr>
                <w:rFonts w:hint="eastAsia" w:ascii="宋体" w:hAnsi="宋体"/>
                <w:color w:val="auto"/>
                <w:szCs w:val="21"/>
                <w:highlight w:val="none"/>
              </w:rPr>
              <w:t>竞选人</w:t>
            </w:r>
            <w:r>
              <w:rPr>
                <w:rFonts w:ascii="宋体" w:hAnsi="宋体"/>
                <w:color w:val="auto"/>
                <w:szCs w:val="21"/>
                <w:highlight w:val="none"/>
              </w:rPr>
              <w:t>的书面澄清、说明和补正（但不得改变</w:t>
            </w:r>
            <w:r>
              <w:rPr>
                <w:rFonts w:hint="eastAsia" w:ascii="宋体" w:hAnsi="宋体"/>
                <w:color w:val="auto"/>
                <w:szCs w:val="21"/>
                <w:highlight w:val="none"/>
              </w:rPr>
              <w:t>竞选</w:t>
            </w:r>
            <w:r>
              <w:rPr>
                <w:rFonts w:ascii="宋体" w:hAnsi="宋体"/>
                <w:color w:val="auto"/>
                <w:szCs w:val="21"/>
                <w:highlight w:val="none"/>
              </w:rPr>
              <w:t>文件的实质性内容）</w:t>
            </w:r>
          </w:p>
        </w:tc>
      </w:tr>
      <w:tr w14:paraId="6599A70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21" w:hRule="atLeast"/>
          <w:jc w:val="center"/>
        </w:trPr>
        <w:tc>
          <w:tcPr>
            <w:tcW w:w="1221" w:type="dxa"/>
            <w:vAlign w:val="center"/>
          </w:tcPr>
          <w:p w14:paraId="0AAE2A2C">
            <w:pPr>
              <w:snapToGrid w:val="0"/>
              <w:spacing w:line="400" w:lineRule="exact"/>
              <w:jc w:val="center"/>
              <w:rPr>
                <w:rFonts w:ascii="宋体" w:hAnsi="宋体"/>
                <w:color w:val="auto"/>
                <w:kern w:val="0"/>
                <w:szCs w:val="21"/>
                <w:highlight w:val="none"/>
              </w:rPr>
            </w:pPr>
            <w:r>
              <w:rPr>
                <w:rFonts w:ascii="宋体" w:hAnsi="宋体"/>
                <w:color w:val="auto"/>
                <w:kern w:val="0"/>
                <w:szCs w:val="21"/>
                <w:highlight w:val="none"/>
              </w:rPr>
              <w:t>3.2</w:t>
            </w:r>
          </w:p>
        </w:tc>
        <w:tc>
          <w:tcPr>
            <w:tcW w:w="1610" w:type="dxa"/>
            <w:vAlign w:val="center"/>
          </w:tcPr>
          <w:p w14:paraId="2245897F">
            <w:pPr>
              <w:snapToGrid w:val="0"/>
              <w:spacing w:line="400" w:lineRule="exact"/>
              <w:jc w:val="center"/>
              <w:rPr>
                <w:rFonts w:ascii="宋体" w:hAnsi="宋体"/>
                <w:color w:val="auto"/>
                <w:kern w:val="0"/>
                <w:szCs w:val="21"/>
                <w:highlight w:val="none"/>
              </w:rPr>
            </w:pPr>
            <w:r>
              <w:rPr>
                <w:rFonts w:hint="eastAsia" w:ascii="宋体" w:hAnsi="宋体"/>
                <w:color w:val="auto"/>
                <w:kern w:val="0"/>
                <w:szCs w:val="21"/>
                <w:highlight w:val="none"/>
              </w:rPr>
              <w:t>竞选</w:t>
            </w:r>
            <w:r>
              <w:rPr>
                <w:rFonts w:ascii="宋体" w:hAnsi="宋体"/>
                <w:color w:val="auto"/>
                <w:kern w:val="0"/>
                <w:szCs w:val="21"/>
                <w:highlight w:val="none"/>
              </w:rPr>
              <w:t>报价</w:t>
            </w:r>
          </w:p>
        </w:tc>
        <w:tc>
          <w:tcPr>
            <w:tcW w:w="6737" w:type="dxa"/>
            <w:vAlign w:val="center"/>
          </w:tcPr>
          <w:p w14:paraId="6CE3CB6E">
            <w:pPr>
              <w:pStyle w:val="2"/>
              <w:tabs>
                <w:tab w:val="left" w:pos="546"/>
                <w:tab w:val="left" w:pos="711"/>
              </w:tabs>
              <w:snapToGrid w:val="0"/>
              <w:spacing w:after="0" w:line="400" w:lineRule="exact"/>
              <w:ind w:firstLine="210" w:firstLineChars="100"/>
              <w:rPr>
                <w:rFonts w:ascii="宋体" w:hAnsi="宋体" w:cs="宋体"/>
                <w:color w:val="auto"/>
                <w:sz w:val="21"/>
                <w:szCs w:val="21"/>
                <w:highlight w:val="none"/>
              </w:rPr>
            </w:pPr>
            <w:r>
              <w:rPr>
                <w:rFonts w:hint="eastAsia" w:ascii="宋体" w:hAnsi="宋体" w:cs="宋体"/>
                <w:color w:val="auto"/>
                <w:sz w:val="21"/>
                <w:szCs w:val="21"/>
                <w:highlight w:val="none"/>
              </w:rPr>
              <w:t>1.本工程采用工程量清单计价（综合单价计价）。</w:t>
            </w:r>
          </w:p>
          <w:p w14:paraId="23D0A67E">
            <w:pPr>
              <w:pStyle w:val="2"/>
              <w:tabs>
                <w:tab w:val="left" w:pos="546"/>
                <w:tab w:val="left" w:pos="711"/>
              </w:tabs>
              <w:snapToGrid w:val="0"/>
              <w:spacing w:after="0" w:line="400" w:lineRule="exact"/>
              <w:ind w:firstLine="210" w:firstLineChars="100"/>
              <w:rPr>
                <w:rFonts w:ascii="宋体" w:hAnsi="宋体" w:cs="宋体"/>
                <w:color w:val="auto"/>
                <w:kern w:val="2"/>
                <w:sz w:val="21"/>
                <w:szCs w:val="21"/>
                <w:highlight w:val="none"/>
              </w:rPr>
            </w:pPr>
            <w:r>
              <w:rPr>
                <w:rFonts w:hint="eastAsia" w:ascii="宋体" w:hAnsi="宋体" w:cs="宋体"/>
                <w:color w:val="auto"/>
                <w:kern w:val="2"/>
                <w:sz w:val="21"/>
                <w:szCs w:val="21"/>
                <w:highlight w:val="none"/>
              </w:rPr>
              <w:t>2</w:t>
            </w:r>
            <w:r>
              <w:rPr>
                <w:rFonts w:ascii="宋体" w:hAnsi="宋体" w:cs="宋体"/>
                <w:color w:val="auto"/>
                <w:kern w:val="2"/>
                <w:sz w:val="21"/>
                <w:szCs w:val="21"/>
                <w:highlight w:val="none"/>
              </w:rPr>
              <w:t>.</w:t>
            </w:r>
            <w:r>
              <w:rPr>
                <w:rFonts w:hint="eastAsia" w:ascii="宋体" w:hAnsi="宋体" w:cs="宋体"/>
                <w:color w:val="auto"/>
                <w:kern w:val="2"/>
                <w:sz w:val="21"/>
                <w:szCs w:val="21"/>
                <w:highlight w:val="none"/>
              </w:rPr>
              <w:t>竞选人应按《建设工程工程量清单计价规范》（GB50500-2013）及重庆市相关工程量清单计价规则的要求填写相应清单表格。竞选人应按本须知、《重庆市建设工程费用定额》（CQFYDE-2018）、《重庆市城乡建设委员会关于适用增值税新税率调整建设工程计价依据的通知》（渝建〔2019〕143号）和第五章“工程量清单”的要求填写相应清单表格。竞选人的竞选报价应是本章竞选人须知前附表1.3.1项中所述的本工程合同段招标范围内的全部工程的竞选报价，并以竞选人在工程量清单中提出的单价或总价为依据。</w:t>
            </w:r>
          </w:p>
          <w:p w14:paraId="6D99DBFD">
            <w:pPr>
              <w:tabs>
                <w:tab w:val="left" w:pos="546"/>
                <w:tab w:val="left" w:pos="711"/>
              </w:tabs>
              <w:snapToGrid w:val="0"/>
              <w:spacing w:line="400" w:lineRule="exact"/>
              <w:ind w:left="6" w:leftChars="3" w:firstLine="420" w:firstLineChars="200"/>
              <w:rPr>
                <w:rFonts w:ascii="宋体" w:hAnsi="宋体"/>
                <w:color w:val="auto"/>
                <w:szCs w:val="21"/>
                <w:highlight w:val="none"/>
              </w:rPr>
            </w:pPr>
            <w:r>
              <w:rPr>
                <w:rFonts w:hint="eastAsia" w:ascii="宋体" w:hAnsi="宋体" w:cs="宋体"/>
                <w:color w:val="auto"/>
                <w:szCs w:val="21"/>
                <w:highlight w:val="none"/>
              </w:rPr>
              <w:t>3</w:t>
            </w:r>
            <w:r>
              <w:rPr>
                <w:rFonts w:ascii="宋体" w:hAnsi="宋体" w:cs="宋体"/>
                <w:color w:val="auto"/>
                <w:szCs w:val="21"/>
                <w:highlight w:val="none"/>
              </w:rPr>
              <w:t>.</w:t>
            </w:r>
            <w:r>
              <w:rPr>
                <w:rFonts w:hint="eastAsia" w:ascii="宋体" w:hAnsi="宋体" w:cs="宋体"/>
                <w:color w:val="auto"/>
                <w:szCs w:val="21"/>
                <w:highlight w:val="none"/>
              </w:rPr>
              <w:t>竞选人应认真填写工程量清单中所列的本合同各工程子目的单价或总价。竞选人没有填入单价或总价的工程子目，比选人将认为该子目的价款已包括在工程量清单其他子目的单价和总价中。竞选人必须按招标工程量清单填报价格。分部分项工程量清单及项目编码、项目名称、项目特征、计量单位、工程量必须与招标工程量清单一致。</w:t>
            </w:r>
          </w:p>
          <w:p w14:paraId="5C0E6B34">
            <w:pPr>
              <w:tabs>
                <w:tab w:val="left" w:pos="546"/>
                <w:tab w:val="left" w:pos="711"/>
              </w:tabs>
              <w:snapToGrid w:val="0"/>
              <w:spacing w:line="400" w:lineRule="exact"/>
              <w:ind w:left="6" w:leftChars="3" w:firstLine="420" w:firstLineChars="200"/>
              <w:rPr>
                <w:rFonts w:ascii="宋体" w:hAnsi="宋体" w:cs="宋体"/>
                <w:color w:val="auto"/>
                <w:szCs w:val="21"/>
                <w:highlight w:val="none"/>
              </w:rPr>
            </w:pPr>
            <w:r>
              <w:rPr>
                <w:rFonts w:hint="eastAsia" w:ascii="宋体" w:hAnsi="宋体" w:cs="宋体"/>
                <w:color w:val="auto"/>
                <w:szCs w:val="21"/>
                <w:highlight w:val="none"/>
              </w:rPr>
              <w:t>4</w:t>
            </w:r>
            <w:r>
              <w:rPr>
                <w:rFonts w:ascii="宋体" w:hAnsi="宋体" w:cs="宋体"/>
                <w:color w:val="auto"/>
                <w:szCs w:val="21"/>
                <w:highlight w:val="none"/>
              </w:rPr>
              <w:t>.</w:t>
            </w:r>
            <w:r>
              <w:rPr>
                <w:rFonts w:hint="eastAsia" w:ascii="宋体" w:hAnsi="宋体" w:cs="宋体"/>
                <w:color w:val="auto"/>
                <w:szCs w:val="21"/>
                <w:highlight w:val="none"/>
              </w:rPr>
              <w:t>竞选函中的总报价必须与已标价工程量清单总报价一致。</w:t>
            </w:r>
          </w:p>
          <w:p w14:paraId="28C96D03">
            <w:pPr>
              <w:pStyle w:val="2"/>
              <w:tabs>
                <w:tab w:val="left" w:pos="546"/>
                <w:tab w:val="left" w:pos="711"/>
              </w:tabs>
              <w:snapToGrid w:val="0"/>
              <w:spacing w:after="0" w:line="400" w:lineRule="exact"/>
              <w:ind w:left="6" w:leftChars="3" w:firstLine="420" w:firstLineChars="200"/>
              <w:rPr>
                <w:rFonts w:ascii="宋体" w:hAnsi="宋体" w:cs="宋体"/>
                <w:color w:val="auto"/>
                <w:kern w:val="2"/>
                <w:sz w:val="21"/>
                <w:szCs w:val="21"/>
                <w:highlight w:val="none"/>
              </w:rPr>
            </w:pPr>
            <w:r>
              <w:rPr>
                <w:rFonts w:hint="eastAsia" w:ascii="宋体" w:hAnsi="宋体" w:cs="宋体"/>
                <w:color w:val="auto"/>
                <w:kern w:val="2"/>
                <w:sz w:val="21"/>
                <w:szCs w:val="21"/>
                <w:highlight w:val="none"/>
              </w:rPr>
              <w:t>5</w:t>
            </w:r>
            <w:r>
              <w:rPr>
                <w:rFonts w:ascii="宋体" w:hAnsi="宋体" w:cs="宋体"/>
                <w:color w:val="auto"/>
                <w:kern w:val="2"/>
                <w:sz w:val="21"/>
                <w:szCs w:val="21"/>
                <w:highlight w:val="none"/>
              </w:rPr>
              <w:t>.</w:t>
            </w:r>
            <w:r>
              <w:rPr>
                <w:rFonts w:hint="eastAsia" w:ascii="宋体" w:hAnsi="宋体" w:cs="宋体"/>
                <w:color w:val="auto"/>
                <w:kern w:val="2"/>
                <w:sz w:val="21"/>
                <w:szCs w:val="21"/>
                <w:highlight w:val="none"/>
              </w:rPr>
              <w:t>（1）在合同实施期间，单价和总价按专用合同条款第11条的规定可调整，竞选人应填写招标文件第四卷第七章竞选函中的价格指数和权重系数或确认基准日期前工程造价管理机构发布的信息价格。</w:t>
            </w:r>
          </w:p>
          <w:p w14:paraId="583CF606">
            <w:pPr>
              <w:pStyle w:val="2"/>
              <w:tabs>
                <w:tab w:val="left" w:pos="546"/>
                <w:tab w:val="left" w:pos="711"/>
              </w:tabs>
              <w:snapToGrid w:val="0"/>
              <w:spacing w:after="0" w:line="400" w:lineRule="exact"/>
              <w:ind w:left="6" w:leftChars="3" w:firstLine="420" w:firstLineChars="200"/>
              <w:rPr>
                <w:rFonts w:ascii="宋体" w:hAnsi="宋体" w:cs="宋体"/>
                <w:color w:val="auto"/>
                <w:kern w:val="2"/>
                <w:sz w:val="21"/>
                <w:szCs w:val="21"/>
                <w:highlight w:val="none"/>
              </w:rPr>
            </w:pPr>
            <w:r>
              <w:rPr>
                <w:rFonts w:hint="eastAsia" w:ascii="宋体" w:hAnsi="宋体" w:cs="宋体"/>
                <w:color w:val="auto"/>
                <w:kern w:val="2"/>
                <w:sz w:val="21"/>
                <w:szCs w:val="21"/>
                <w:highlight w:val="none"/>
              </w:rPr>
              <w:t>（2）增值税计税方法由比选人依据国家税法规定选择：</w:t>
            </w:r>
            <w:r>
              <w:rPr>
                <w:rFonts w:hint="eastAsia" w:ascii="宋体" w:hAnsi="宋体" w:cs="宋体"/>
                <w:color w:val="auto"/>
                <w:kern w:val="2"/>
                <w:sz w:val="21"/>
                <w:szCs w:val="21"/>
                <w:highlight w:val="none"/>
                <w:lang w:val="en-US" w:eastAsia="zh-CN"/>
              </w:rPr>
              <w:t>一般</w:t>
            </w:r>
            <w:r>
              <w:rPr>
                <w:rFonts w:hint="eastAsia" w:ascii="宋体" w:hAnsi="宋体" w:cs="宋体"/>
                <w:color w:val="auto"/>
                <w:kern w:val="2"/>
                <w:sz w:val="21"/>
                <w:szCs w:val="21"/>
                <w:highlight w:val="none"/>
              </w:rPr>
              <w:t>计税法</w:t>
            </w:r>
          </w:p>
          <w:p w14:paraId="3230D821">
            <w:pPr>
              <w:pStyle w:val="2"/>
              <w:tabs>
                <w:tab w:val="left" w:pos="546"/>
                <w:tab w:val="left" w:pos="711"/>
              </w:tabs>
              <w:snapToGrid w:val="0"/>
              <w:spacing w:after="0" w:line="400" w:lineRule="exact"/>
              <w:ind w:left="6" w:leftChars="3" w:firstLine="420" w:firstLineChars="200"/>
              <w:rPr>
                <w:rFonts w:ascii="宋体" w:hAnsi="宋体" w:cs="宋体"/>
                <w:color w:val="auto"/>
                <w:kern w:val="2"/>
                <w:sz w:val="21"/>
                <w:szCs w:val="21"/>
                <w:highlight w:val="none"/>
              </w:rPr>
            </w:pPr>
            <w:r>
              <w:rPr>
                <w:rFonts w:hint="eastAsia" w:ascii="宋体" w:hAnsi="宋体" w:cs="宋体"/>
                <w:color w:val="auto"/>
                <w:kern w:val="2"/>
                <w:sz w:val="21"/>
                <w:szCs w:val="21"/>
                <w:highlight w:val="none"/>
              </w:rPr>
              <w:t>6</w:t>
            </w:r>
            <w:r>
              <w:rPr>
                <w:rFonts w:ascii="宋体" w:hAnsi="宋体" w:cs="宋体"/>
                <w:color w:val="auto"/>
                <w:kern w:val="2"/>
                <w:sz w:val="21"/>
                <w:szCs w:val="21"/>
                <w:highlight w:val="none"/>
              </w:rPr>
              <w:t>.</w:t>
            </w:r>
            <w:r>
              <w:rPr>
                <w:rFonts w:hint="eastAsia" w:ascii="宋体" w:hAnsi="宋体" w:cs="宋体"/>
                <w:color w:val="auto"/>
                <w:kern w:val="2"/>
                <w:sz w:val="21"/>
                <w:szCs w:val="21"/>
                <w:highlight w:val="none"/>
              </w:rPr>
              <w:t>如发现工程量清单中的数量与图纸中数量不一致，应于本须知2.2.1项中规定的时间前书面通知比选人核查，除非比选人以补遗书的形式予以更正，否则，应以工程量清单中列出的数量为准。</w:t>
            </w:r>
          </w:p>
          <w:p w14:paraId="7B2FD895">
            <w:pPr>
              <w:tabs>
                <w:tab w:val="left" w:pos="546"/>
                <w:tab w:val="left" w:pos="711"/>
              </w:tabs>
              <w:snapToGrid w:val="0"/>
              <w:spacing w:line="400" w:lineRule="exact"/>
              <w:ind w:firstLine="420" w:firstLineChars="200"/>
              <w:rPr>
                <w:rFonts w:ascii="宋体" w:hAnsi="宋体"/>
                <w:color w:val="auto"/>
                <w:szCs w:val="21"/>
                <w:highlight w:val="none"/>
              </w:rPr>
            </w:pPr>
            <w:r>
              <w:rPr>
                <w:rFonts w:hint="eastAsia" w:ascii="宋体" w:hAnsi="宋体" w:cs="宋体"/>
                <w:color w:val="auto"/>
                <w:szCs w:val="21"/>
                <w:highlight w:val="none"/>
              </w:rPr>
              <w:t>7</w:t>
            </w:r>
            <w:r>
              <w:rPr>
                <w:rFonts w:ascii="宋体" w:hAnsi="宋体" w:cs="宋体"/>
                <w:color w:val="auto"/>
                <w:szCs w:val="21"/>
                <w:highlight w:val="none"/>
              </w:rPr>
              <w:t>.</w:t>
            </w:r>
            <w:r>
              <w:rPr>
                <w:rFonts w:hint="eastAsia" w:ascii="宋体" w:hAnsi="宋体" w:cs="宋体"/>
                <w:color w:val="auto"/>
                <w:szCs w:val="21"/>
                <w:highlight w:val="none"/>
              </w:rPr>
              <w:t>比选人在工程量清单中所列出的价格（包括暂列金额、暂估价等），竞选人不得修改</w:t>
            </w:r>
            <w:r>
              <w:rPr>
                <w:rFonts w:hint="eastAsia" w:ascii="宋体" w:hAnsi="宋体"/>
                <w:color w:val="auto"/>
                <w:szCs w:val="21"/>
                <w:highlight w:val="none"/>
              </w:rPr>
              <w:t>。</w:t>
            </w:r>
          </w:p>
          <w:p w14:paraId="392922CC">
            <w:pPr>
              <w:tabs>
                <w:tab w:val="left" w:pos="546"/>
                <w:tab w:val="left" w:pos="711"/>
              </w:tabs>
              <w:snapToGrid w:val="0"/>
              <w:spacing w:line="500" w:lineRule="exact"/>
              <w:ind w:firstLine="420" w:firstLineChars="200"/>
              <w:rPr>
                <w:rFonts w:ascii="宋体" w:hAnsi="宋体" w:cs="宋体"/>
                <w:b/>
                <w:bCs/>
                <w:color w:val="auto"/>
                <w:highlight w:val="none"/>
              </w:rPr>
            </w:pPr>
            <w:r>
              <w:rPr>
                <w:rFonts w:hint="eastAsia" w:ascii="宋体" w:hAnsi="宋体" w:cs="宋体"/>
                <w:color w:val="auto"/>
                <w:szCs w:val="21"/>
                <w:highlight w:val="none"/>
              </w:rPr>
              <w:t>8</w:t>
            </w:r>
            <w:r>
              <w:rPr>
                <w:rFonts w:ascii="宋体" w:hAnsi="宋体" w:cs="宋体"/>
                <w:color w:val="auto"/>
                <w:szCs w:val="21"/>
                <w:highlight w:val="none"/>
              </w:rPr>
              <w:t>.</w:t>
            </w:r>
            <w:r>
              <w:rPr>
                <w:rFonts w:hint="eastAsia" w:ascii="宋体" w:hAnsi="宋体" w:cs="宋体"/>
                <w:b/>
                <w:bCs/>
                <w:color w:val="auto"/>
                <w:spacing w:val="-2"/>
                <w:highlight w:val="none"/>
              </w:rPr>
              <w:t>本工程的最</w:t>
            </w:r>
            <w:r>
              <w:rPr>
                <w:rFonts w:hint="eastAsia" w:ascii="宋体" w:hAnsi="宋体" w:cs="宋体"/>
                <w:b/>
                <w:bCs/>
                <w:color w:val="auto"/>
                <w:szCs w:val="21"/>
                <w:highlight w:val="none"/>
              </w:rPr>
              <w:t>高限价为</w:t>
            </w:r>
            <w:r>
              <w:rPr>
                <w:rFonts w:ascii="宋体" w:hAnsi="宋体" w:cs="宋体"/>
                <w:b/>
                <w:bCs/>
                <w:color w:val="auto"/>
                <w:szCs w:val="21"/>
                <w:highlight w:val="none"/>
                <w:u w:val="single"/>
              </w:rPr>
              <w:t xml:space="preserve"> </w:t>
            </w:r>
            <w:r>
              <w:rPr>
                <w:rFonts w:hint="eastAsia" w:ascii="宋体" w:hAnsi="宋体" w:cs="宋体"/>
                <w:b/>
                <w:bCs/>
                <w:color w:val="auto"/>
                <w:szCs w:val="21"/>
                <w:highlight w:val="none"/>
                <w:u w:val="single"/>
                <w:lang w:val="en-US" w:eastAsia="zh-CN"/>
              </w:rPr>
              <w:t>169998.12</w:t>
            </w:r>
            <w:r>
              <w:rPr>
                <w:rFonts w:hint="eastAsia" w:ascii="宋体" w:hAnsi="宋体" w:cs="宋体"/>
                <w:b/>
                <w:bCs/>
                <w:color w:val="auto"/>
                <w:szCs w:val="21"/>
                <w:highlight w:val="none"/>
              </w:rPr>
              <w:t>元(大写：</w:t>
            </w:r>
            <w:r>
              <w:rPr>
                <w:rStyle w:val="54"/>
                <w:rFonts w:ascii="Segoe UI" w:hAnsi="Segoe UI" w:eastAsia="Segoe UI" w:cs="Segoe UI"/>
                <w:i w:val="0"/>
                <w:iCs w:val="0"/>
                <w:caps w:val="0"/>
                <w:color w:val="555555"/>
                <w:spacing w:val="0"/>
                <w:sz w:val="24"/>
                <w:szCs w:val="24"/>
                <w:highlight w:val="none"/>
              </w:rPr>
              <w:t>壹拾陆万玖仟</w:t>
            </w:r>
            <w:r>
              <w:rPr>
                <w:rStyle w:val="54"/>
                <w:rFonts w:hint="eastAsia" w:ascii="Segoe UI" w:hAnsi="Segoe UI" w:eastAsia="宋体" w:cs="Segoe UI"/>
                <w:i w:val="0"/>
                <w:iCs w:val="0"/>
                <w:caps w:val="0"/>
                <w:color w:val="555555"/>
                <w:spacing w:val="0"/>
                <w:sz w:val="24"/>
                <w:szCs w:val="24"/>
                <w:highlight w:val="none"/>
                <w:lang w:val="en-US" w:eastAsia="zh-CN"/>
              </w:rPr>
              <w:t>玖</w:t>
            </w:r>
            <w:r>
              <w:rPr>
                <w:rStyle w:val="54"/>
                <w:rFonts w:ascii="Segoe UI" w:hAnsi="Segoe UI" w:eastAsia="Segoe UI" w:cs="Segoe UI"/>
                <w:i w:val="0"/>
                <w:iCs w:val="0"/>
                <w:caps w:val="0"/>
                <w:color w:val="555555"/>
                <w:spacing w:val="0"/>
                <w:sz w:val="24"/>
                <w:szCs w:val="24"/>
                <w:highlight w:val="none"/>
              </w:rPr>
              <w:t>佰</w:t>
            </w:r>
            <w:r>
              <w:rPr>
                <w:rStyle w:val="54"/>
                <w:rFonts w:hint="eastAsia" w:ascii="Segoe UI" w:hAnsi="Segoe UI" w:eastAsia="宋体" w:cs="Segoe UI"/>
                <w:i w:val="0"/>
                <w:iCs w:val="0"/>
                <w:caps w:val="0"/>
                <w:color w:val="555555"/>
                <w:spacing w:val="0"/>
                <w:sz w:val="24"/>
                <w:szCs w:val="24"/>
                <w:highlight w:val="none"/>
                <w:lang w:val="en-US" w:eastAsia="zh-CN"/>
              </w:rPr>
              <w:t>玖</w:t>
            </w:r>
            <w:r>
              <w:rPr>
                <w:rStyle w:val="54"/>
                <w:rFonts w:ascii="Segoe UI" w:hAnsi="Segoe UI" w:eastAsia="Segoe UI" w:cs="Segoe UI"/>
                <w:i w:val="0"/>
                <w:iCs w:val="0"/>
                <w:caps w:val="0"/>
                <w:color w:val="555555"/>
                <w:spacing w:val="0"/>
                <w:sz w:val="24"/>
                <w:szCs w:val="24"/>
                <w:highlight w:val="none"/>
              </w:rPr>
              <w:t>拾</w:t>
            </w:r>
            <w:r>
              <w:rPr>
                <w:rStyle w:val="54"/>
                <w:rFonts w:hint="eastAsia" w:ascii="Segoe UI" w:hAnsi="Segoe UI" w:eastAsia="宋体" w:cs="Segoe UI"/>
                <w:i w:val="0"/>
                <w:iCs w:val="0"/>
                <w:caps w:val="0"/>
                <w:color w:val="555555"/>
                <w:spacing w:val="0"/>
                <w:sz w:val="24"/>
                <w:szCs w:val="24"/>
                <w:highlight w:val="none"/>
                <w:lang w:val="en-US" w:eastAsia="zh-CN"/>
              </w:rPr>
              <w:t>捌</w:t>
            </w:r>
            <w:r>
              <w:rPr>
                <w:rStyle w:val="54"/>
                <w:rFonts w:ascii="Segoe UI" w:hAnsi="Segoe UI" w:eastAsia="Segoe UI" w:cs="Segoe UI"/>
                <w:i w:val="0"/>
                <w:iCs w:val="0"/>
                <w:caps w:val="0"/>
                <w:color w:val="555555"/>
                <w:spacing w:val="0"/>
                <w:sz w:val="24"/>
                <w:szCs w:val="24"/>
                <w:highlight w:val="none"/>
              </w:rPr>
              <w:t>元</w:t>
            </w:r>
            <w:r>
              <w:rPr>
                <w:rStyle w:val="54"/>
                <w:rFonts w:hint="eastAsia" w:ascii="Segoe UI" w:hAnsi="Segoe UI" w:eastAsia="宋体" w:cs="Segoe UI"/>
                <w:i w:val="0"/>
                <w:iCs w:val="0"/>
                <w:caps w:val="0"/>
                <w:color w:val="555555"/>
                <w:spacing w:val="0"/>
                <w:sz w:val="24"/>
                <w:szCs w:val="24"/>
                <w:highlight w:val="none"/>
                <w:lang w:val="en-US" w:eastAsia="zh-CN"/>
              </w:rPr>
              <w:t>壹</w:t>
            </w:r>
            <w:r>
              <w:rPr>
                <w:rStyle w:val="54"/>
                <w:rFonts w:ascii="Segoe UI" w:hAnsi="Segoe UI" w:eastAsia="Segoe UI" w:cs="Segoe UI"/>
                <w:i w:val="0"/>
                <w:iCs w:val="0"/>
                <w:caps w:val="0"/>
                <w:color w:val="555555"/>
                <w:spacing w:val="0"/>
                <w:sz w:val="24"/>
                <w:szCs w:val="24"/>
                <w:highlight w:val="none"/>
              </w:rPr>
              <w:t>角</w:t>
            </w:r>
            <w:r>
              <w:rPr>
                <w:rStyle w:val="54"/>
                <w:rFonts w:hint="eastAsia" w:ascii="Segoe UI" w:hAnsi="Segoe UI" w:eastAsia="宋体" w:cs="Segoe UI"/>
                <w:i w:val="0"/>
                <w:iCs w:val="0"/>
                <w:caps w:val="0"/>
                <w:color w:val="555555"/>
                <w:spacing w:val="0"/>
                <w:sz w:val="24"/>
                <w:szCs w:val="24"/>
                <w:highlight w:val="none"/>
                <w:lang w:val="en-US" w:eastAsia="zh-CN"/>
              </w:rPr>
              <w:t>贰</w:t>
            </w:r>
            <w:r>
              <w:rPr>
                <w:rStyle w:val="54"/>
                <w:rFonts w:ascii="Segoe UI" w:hAnsi="Segoe UI" w:eastAsia="Segoe UI" w:cs="Segoe UI"/>
                <w:i w:val="0"/>
                <w:iCs w:val="0"/>
                <w:caps w:val="0"/>
                <w:color w:val="555555"/>
                <w:spacing w:val="0"/>
                <w:sz w:val="24"/>
                <w:szCs w:val="24"/>
                <w:highlight w:val="none"/>
              </w:rPr>
              <w:t>分</w:t>
            </w:r>
            <w:r>
              <w:rPr>
                <w:rFonts w:ascii="宋体" w:hAnsi="宋体" w:cs="宋体"/>
                <w:b/>
                <w:bCs/>
                <w:color w:val="auto"/>
                <w:szCs w:val="21"/>
                <w:highlight w:val="none"/>
                <w:u w:val="single"/>
              </w:rPr>
              <w:t xml:space="preserve"> </w:t>
            </w:r>
            <w:r>
              <w:rPr>
                <w:rFonts w:hint="eastAsia" w:ascii="宋体" w:hAnsi="宋体" w:cs="宋体"/>
                <w:b/>
                <w:bCs/>
                <w:color w:val="auto"/>
                <w:szCs w:val="21"/>
                <w:highlight w:val="none"/>
              </w:rPr>
              <w:t>)(其中：安全文明施工费</w:t>
            </w:r>
            <w:r>
              <w:rPr>
                <w:rFonts w:ascii="宋体" w:hAnsi="宋体" w:cs="宋体"/>
                <w:b/>
                <w:bCs/>
                <w:color w:val="auto"/>
                <w:szCs w:val="21"/>
                <w:highlight w:val="none"/>
                <w:u w:val="single"/>
              </w:rPr>
              <w:t xml:space="preserve"> </w:t>
            </w:r>
            <w:r>
              <w:rPr>
                <w:rFonts w:hint="eastAsia" w:ascii="宋体" w:hAnsi="宋体" w:cs="宋体"/>
                <w:b/>
                <w:bCs/>
                <w:color w:val="auto"/>
                <w:szCs w:val="21"/>
                <w:highlight w:val="none"/>
                <w:u w:val="single"/>
                <w:lang w:val="en-US" w:eastAsia="zh-CN"/>
              </w:rPr>
              <w:t>4001.44</w:t>
            </w:r>
            <w:r>
              <w:rPr>
                <w:rFonts w:hint="eastAsia" w:ascii="宋体" w:hAnsi="宋体" w:cs="宋体"/>
                <w:b/>
                <w:bCs/>
                <w:color w:val="auto"/>
                <w:szCs w:val="21"/>
                <w:highlight w:val="none"/>
              </w:rPr>
              <w:t>元) 。竞选人的竞选</w:t>
            </w:r>
            <w:r>
              <w:rPr>
                <w:rFonts w:hint="eastAsia" w:ascii="宋体" w:hAnsi="宋体" w:cs="宋体"/>
                <w:b/>
                <w:bCs/>
                <w:color w:val="auto"/>
                <w:szCs w:val="21"/>
                <w:highlight w:val="none"/>
                <w:lang w:val="en-US" w:eastAsia="zh-CN"/>
              </w:rPr>
              <w:t>总</w:t>
            </w:r>
            <w:r>
              <w:rPr>
                <w:rFonts w:hint="eastAsia" w:ascii="宋体" w:hAnsi="宋体" w:cs="宋体"/>
                <w:b/>
                <w:bCs/>
                <w:color w:val="auto"/>
                <w:szCs w:val="21"/>
                <w:highlight w:val="none"/>
              </w:rPr>
              <w:t>报价</w:t>
            </w:r>
            <w:r>
              <w:rPr>
                <w:rFonts w:hint="eastAsia" w:ascii="宋体" w:hAnsi="宋体" w:cs="宋体"/>
                <w:b/>
                <w:bCs/>
                <w:color w:val="auto"/>
                <w:szCs w:val="21"/>
                <w:highlight w:val="none"/>
                <w:lang w:val="en-US" w:eastAsia="zh-CN"/>
              </w:rPr>
              <w:t>和分部分项工程量清单单价均</w:t>
            </w:r>
            <w:r>
              <w:rPr>
                <w:rFonts w:hint="eastAsia" w:ascii="宋体" w:hAnsi="宋体" w:cs="宋体"/>
                <w:b/>
                <w:bCs/>
                <w:color w:val="auto"/>
                <w:szCs w:val="21"/>
                <w:highlight w:val="none"/>
              </w:rPr>
              <w:t>不得超过比选人公布的相应最高限价，否则，将被认定为废标</w:t>
            </w:r>
            <w:r>
              <w:rPr>
                <w:rFonts w:hint="eastAsia" w:ascii="宋体" w:hAnsi="宋体" w:cs="宋体"/>
                <w:b/>
                <w:bCs/>
                <w:color w:val="auto"/>
                <w:highlight w:val="none"/>
              </w:rPr>
              <w:t>。</w:t>
            </w:r>
          </w:p>
          <w:p w14:paraId="453F9C40">
            <w:pPr>
              <w:tabs>
                <w:tab w:val="left" w:pos="546"/>
                <w:tab w:val="left" w:pos="711"/>
              </w:tabs>
              <w:snapToGrid w:val="0"/>
              <w:spacing w:line="400" w:lineRule="exact"/>
              <w:ind w:firstLine="420" w:firstLineChars="200"/>
              <w:rPr>
                <w:rFonts w:ascii="宋体" w:hAnsi="宋体" w:cs="宋体"/>
                <w:color w:val="auto"/>
                <w:szCs w:val="21"/>
                <w:highlight w:val="none"/>
              </w:rPr>
            </w:pPr>
            <w:r>
              <w:rPr>
                <w:rFonts w:hint="eastAsia" w:ascii="宋体" w:hAnsi="宋体" w:cs="宋体"/>
                <w:color w:val="auto"/>
                <w:szCs w:val="21"/>
                <w:highlight w:val="none"/>
              </w:rPr>
              <w:t>竞选人须在竞选文件商务部分提供承诺函（格式自拟），承诺函包括以下内容：</w:t>
            </w:r>
          </w:p>
          <w:p w14:paraId="7D2D85A8">
            <w:pPr>
              <w:tabs>
                <w:tab w:val="left" w:pos="546"/>
                <w:tab w:val="left" w:pos="711"/>
              </w:tabs>
              <w:snapToGrid w:val="0"/>
              <w:spacing w:line="400" w:lineRule="exact"/>
              <w:ind w:firstLine="420" w:firstLineChars="200"/>
              <w:rPr>
                <w:rFonts w:ascii="宋体" w:hAnsi="宋体" w:cs="宋体"/>
                <w:color w:val="auto"/>
                <w:szCs w:val="21"/>
                <w:highlight w:val="none"/>
              </w:rPr>
            </w:pPr>
            <w:r>
              <w:rPr>
                <w:rFonts w:hint="eastAsia" w:ascii="宋体" w:hAnsi="宋体" w:cs="宋体"/>
                <w:color w:val="auto"/>
                <w:szCs w:val="21"/>
                <w:highlight w:val="none"/>
              </w:rPr>
              <w:t>（1）符合第五章“工程量清单”给出的范围及数量。</w:t>
            </w:r>
          </w:p>
          <w:p w14:paraId="77EF4313">
            <w:pPr>
              <w:tabs>
                <w:tab w:val="left" w:pos="546"/>
                <w:tab w:val="left" w:pos="711"/>
              </w:tabs>
              <w:snapToGrid w:val="0"/>
              <w:spacing w:line="400" w:lineRule="exact"/>
              <w:ind w:firstLine="420" w:firstLineChars="200"/>
              <w:rPr>
                <w:rFonts w:ascii="宋体" w:hAnsi="宋体" w:cs="宋体"/>
                <w:color w:val="auto"/>
                <w:szCs w:val="21"/>
                <w:highlight w:val="none"/>
              </w:rPr>
            </w:pPr>
            <w:r>
              <w:rPr>
                <w:rFonts w:hint="eastAsia" w:ascii="宋体" w:hAnsi="宋体" w:cs="宋体"/>
                <w:color w:val="auto"/>
                <w:szCs w:val="21"/>
                <w:highlight w:val="none"/>
              </w:rPr>
              <w:t>（2）招标文件中规定工程量清单不允许修改的内容不得修改。</w:t>
            </w:r>
          </w:p>
          <w:p w14:paraId="3060640D">
            <w:pPr>
              <w:tabs>
                <w:tab w:val="left" w:pos="546"/>
                <w:tab w:val="left" w:pos="711"/>
              </w:tabs>
              <w:snapToGrid w:val="0"/>
              <w:spacing w:line="400" w:lineRule="exact"/>
              <w:ind w:firstLine="420" w:firstLineChars="200"/>
              <w:rPr>
                <w:rFonts w:ascii="宋体" w:hAnsi="宋体" w:cs="宋体"/>
                <w:color w:val="auto"/>
                <w:szCs w:val="21"/>
                <w:highlight w:val="none"/>
              </w:rPr>
            </w:pPr>
            <w:r>
              <w:rPr>
                <w:rFonts w:hint="eastAsia" w:ascii="宋体" w:hAnsi="宋体" w:cs="宋体"/>
                <w:color w:val="auto"/>
                <w:szCs w:val="21"/>
                <w:highlight w:val="none"/>
              </w:rPr>
              <w:t>（3）每项工程量清单综合单价报价不得高于比选人发布的对应工程量清单综合单价最高限价。</w:t>
            </w:r>
          </w:p>
          <w:p w14:paraId="0F35BBB3">
            <w:pPr>
              <w:tabs>
                <w:tab w:val="left" w:pos="546"/>
                <w:tab w:val="left" w:pos="711"/>
              </w:tabs>
              <w:snapToGrid w:val="0"/>
              <w:spacing w:line="400" w:lineRule="exact"/>
              <w:ind w:firstLine="420" w:firstLineChars="200"/>
              <w:rPr>
                <w:rFonts w:ascii="宋体" w:hAnsi="宋体"/>
                <w:color w:val="auto"/>
                <w:szCs w:val="21"/>
                <w:highlight w:val="none"/>
              </w:rPr>
            </w:pPr>
            <w:r>
              <w:rPr>
                <w:rFonts w:hint="eastAsia" w:ascii="宋体" w:hAnsi="宋体" w:cs="宋体"/>
                <w:color w:val="auto"/>
                <w:szCs w:val="21"/>
                <w:highlight w:val="none"/>
              </w:rPr>
              <w:t>（4）</w:t>
            </w:r>
            <w:r>
              <w:rPr>
                <w:rFonts w:hint="eastAsia" w:ascii="宋体" w:hAnsi="宋体"/>
                <w:color w:val="auto"/>
                <w:szCs w:val="21"/>
                <w:highlight w:val="none"/>
              </w:rPr>
              <w:t>商务部分报价与工程清单综合单价报价中的工程量、单价、合价、合计逻辑一致。</w:t>
            </w:r>
          </w:p>
          <w:p w14:paraId="4D4AEC9F">
            <w:pPr>
              <w:tabs>
                <w:tab w:val="left" w:pos="546"/>
                <w:tab w:val="left" w:pos="711"/>
              </w:tabs>
              <w:snapToGrid w:val="0"/>
              <w:spacing w:line="400" w:lineRule="exact"/>
              <w:ind w:firstLine="420" w:firstLineChars="200"/>
              <w:rPr>
                <w:rFonts w:ascii="宋体" w:hAnsi="宋体" w:cs="宋体"/>
                <w:color w:val="auto"/>
                <w:szCs w:val="21"/>
                <w:highlight w:val="none"/>
              </w:rPr>
            </w:pPr>
            <w:r>
              <w:rPr>
                <w:rFonts w:hint="eastAsia" w:ascii="宋体" w:hAnsi="宋体"/>
                <w:color w:val="auto"/>
                <w:szCs w:val="21"/>
                <w:highlight w:val="none"/>
              </w:rPr>
              <w:t>（5）商务部分分部分项工程量清单及项目编码、项目名称、项目特征、计量单位、工程量与招标工程量清单一致。</w:t>
            </w:r>
          </w:p>
          <w:p w14:paraId="31DAB7BC">
            <w:pPr>
              <w:pStyle w:val="2"/>
              <w:spacing w:after="0" w:line="400" w:lineRule="exact"/>
              <w:ind w:firstLine="420" w:firstLineChars="200"/>
              <w:rPr>
                <w:rFonts w:ascii="宋体" w:hAnsi="宋体" w:cs="宋体"/>
                <w:color w:val="auto"/>
                <w:kern w:val="2"/>
                <w:sz w:val="21"/>
                <w:szCs w:val="21"/>
                <w:highlight w:val="none"/>
              </w:rPr>
            </w:pPr>
            <w:r>
              <w:rPr>
                <w:rFonts w:ascii="宋体" w:hAnsi="宋体" w:cs="宋体"/>
                <w:color w:val="auto"/>
                <w:kern w:val="2"/>
                <w:sz w:val="21"/>
                <w:szCs w:val="21"/>
                <w:highlight w:val="none"/>
              </w:rPr>
              <w:t>9.安全文明施工费：</w:t>
            </w:r>
          </w:p>
          <w:p w14:paraId="113A3B96">
            <w:pPr>
              <w:pStyle w:val="2"/>
              <w:tabs>
                <w:tab w:val="left" w:pos="546"/>
                <w:tab w:val="left" w:pos="711"/>
              </w:tabs>
              <w:snapToGrid w:val="0"/>
              <w:spacing w:after="0" w:line="400" w:lineRule="exact"/>
              <w:ind w:firstLine="420" w:firstLineChars="200"/>
              <w:rPr>
                <w:rFonts w:ascii="宋体" w:hAnsi="宋体" w:cs="宋体"/>
                <w:color w:val="auto"/>
                <w:kern w:val="2"/>
                <w:sz w:val="21"/>
                <w:szCs w:val="21"/>
                <w:highlight w:val="none"/>
              </w:rPr>
            </w:pPr>
            <w:r>
              <w:rPr>
                <w:rFonts w:ascii="宋体" w:hAnsi="宋体" w:cs="宋体"/>
                <w:color w:val="auto"/>
                <w:kern w:val="2"/>
                <w:sz w:val="21"/>
                <w:szCs w:val="21"/>
                <w:highlight w:val="none"/>
              </w:rPr>
              <w:t>9.1</w:t>
            </w:r>
            <w:r>
              <w:rPr>
                <w:rFonts w:hint="eastAsia" w:ascii="宋体" w:hAnsi="宋体" w:cs="宋体"/>
                <w:color w:val="auto"/>
                <w:kern w:val="2"/>
                <w:sz w:val="21"/>
                <w:szCs w:val="21"/>
                <w:highlight w:val="none"/>
              </w:rPr>
              <w:t>根据重庆市住房和城乡建设委员会关于修订发布《重庆市建设工程安全文明施工费计取及使用管理规定》的通知（渝建管〔2024〕38号）、《重庆市住房和城乡建设委员会关于调整建设施工现场形象品质提升安全文明施工费记取的通知》（渝建管〔2020〕97号）规定，安全文明施工费由安全施工费、文明施工费、环境保护费及临时设施费、施工现场围挡及大门增加费组成。</w:t>
            </w:r>
          </w:p>
          <w:p w14:paraId="77DC9B3E">
            <w:pPr>
              <w:pStyle w:val="286"/>
              <w:spacing w:line="400" w:lineRule="exact"/>
              <w:ind w:firstLineChars="200"/>
              <w:rPr>
                <w:color w:val="auto"/>
                <w:sz w:val="21"/>
                <w:szCs w:val="21"/>
                <w:highlight w:val="none"/>
              </w:rPr>
            </w:pPr>
            <w:r>
              <w:rPr>
                <w:color w:val="auto"/>
                <w:sz w:val="21"/>
                <w:szCs w:val="21"/>
                <w:highlight w:val="none"/>
              </w:rPr>
              <w:t>9.2本工程安全文明施工费由</w:t>
            </w:r>
            <w:r>
              <w:rPr>
                <w:rFonts w:hint="eastAsia"/>
                <w:color w:val="auto"/>
                <w:sz w:val="21"/>
                <w:szCs w:val="21"/>
                <w:highlight w:val="none"/>
              </w:rPr>
              <w:t>比选人</w:t>
            </w:r>
            <w:r>
              <w:rPr>
                <w:color w:val="auto"/>
                <w:sz w:val="21"/>
                <w:szCs w:val="21"/>
                <w:highlight w:val="none"/>
              </w:rPr>
              <w:t>根据《建设工程工程量清单计价规范》（GB50500-2013）、《重庆市建设工程工程量清单计价规则》（CQJJGZ-2013）、</w:t>
            </w:r>
            <w:r>
              <w:rPr>
                <w:rFonts w:hint="eastAsia"/>
                <w:color w:val="auto"/>
                <w:sz w:val="21"/>
                <w:szCs w:val="21"/>
                <w:highlight w:val="none"/>
              </w:rPr>
              <w:t>重庆市住房和城乡建设委员会关于修订发布《重庆市建设工程安全文明施工费计取及使用管理规定》的通知（渝建管〔2024〕38号）</w:t>
            </w:r>
            <w:r>
              <w:rPr>
                <w:color w:val="auto"/>
                <w:sz w:val="21"/>
                <w:szCs w:val="21"/>
                <w:highlight w:val="none"/>
              </w:rPr>
              <w:t>、</w:t>
            </w:r>
            <w:r>
              <w:rPr>
                <w:rFonts w:hint="eastAsia"/>
                <w:color w:val="auto"/>
                <w:sz w:val="21"/>
                <w:szCs w:val="21"/>
                <w:highlight w:val="none"/>
              </w:rPr>
              <w:t>《重庆市建设工程费用定额》（CQFYDE-2018）、《重庆市城乡建设委员会关于适用增值税新税率调整建设工程计价依据的通知》（渝建〔2019〕143号）、《重庆市住房和城乡建设委员会关于调整建设施工现场形象品质提升安全文明施工费记取的通知》（渝建管〔2020〕97号）</w:t>
            </w:r>
            <w:r>
              <w:rPr>
                <w:color w:val="auto"/>
                <w:sz w:val="21"/>
                <w:szCs w:val="21"/>
                <w:highlight w:val="none"/>
              </w:rPr>
              <w:t>的相关规定和费用标准单列计算，安全文明施工费为暂定金额，与最高限价一起公布。《</w:t>
            </w:r>
            <w:r>
              <w:rPr>
                <w:rFonts w:hint="eastAsia"/>
                <w:color w:val="auto"/>
                <w:sz w:val="21"/>
                <w:szCs w:val="21"/>
                <w:highlight w:val="none"/>
              </w:rPr>
              <w:t>竞选</w:t>
            </w:r>
            <w:r>
              <w:rPr>
                <w:color w:val="auto"/>
                <w:sz w:val="21"/>
                <w:szCs w:val="21"/>
                <w:highlight w:val="none"/>
              </w:rPr>
              <w:t>函》及工程量清单报价中的安全文明施工费必须按照</w:t>
            </w:r>
            <w:r>
              <w:rPr>
                <w:rFonts w:hint="eastAsia"/>
                <w:color w:val="auto"/>
                <w:sz w:val="21"/>
                <w:szCs w:val="21"/>
                <w:highlight w:val="none"/>
              </w:rPr>
              <w:t>比选人</w:t>
            </w:r>
            <w:r>
              <w:rPr>
                <w:color w:val="auto"/>
                <w:sz w:val="21"/>
                <w:szCs w:val="21"/>
                <w:highlight w:val="none"/>
              </w:rPr>
              <w:t>给出的暂定金额填报，否则视为对招标文件不作实质性响应，其</w:t>
            </w:r>
            <w:r>
              <w:rPr>
                <w:rFonts w:hint="eastAsia"/>
                <w:color w:val="auto"/>
                <w:sz w:val="21"/>
                <w:szCs w:val="21"/>
                <w:highlight w:val="none"/>
              </w:rPr>
              <w:t>竞选</w:t>
            </w:r>
            <w:r>
              <w:rPr>
                <w:color w:val="auto"/>
                <w:sz w:val="21"/>
                <w:szCs w:val="21"/>
                <w:highlight w:val="none"/>
              </w:rPr>
              <w:t>文件</w:t>
            </w:r>
            <w:r>
              <w:rPr>
                <w:rFonts w:hint="eastAsia"/>
                <w:color w:val="auto"/>
                <w:sz w:val="21"/>
                <w:szCs w:val="21"/>
                <w:highlight w:val="none"/>
              </w:rPr>
              <w:t>由评标委员会</w:t>
            </w:r>
            <w:r>
              <w:rPr>
                <w:color w:val="auto"/>
                <w:sz w:val="21"/>
                <w:szCs w:val="21"/>
                <w:highlight w:val="none"/>
              </w:rPr>
              <w:t>作否决投标处理。</w:t>
            </w:r>
          </w:p>
          <w:p w14:paraId="7708A20F">
            <w:pPr>
              <w:tabs>
                <w:tab w:val="left" w:pos="546"/>
                <w:tab w:val="left" w:pos="711"/>
              </w:tabs>
              <w:snapToGrid w:val="0"/>
              <w:spacing w:line="400" w:lineRule="exact"/>
              <w:ind w:firstLine="420" w:firstLineChars="200"/>
              <w:rPr>
                <w:rFonts w:ascii="宋体" w:hAnsi="宋体" w:cs="宋体"/>
                <w:color w:val="auto"/>
                <w:szCs w:val="21"/>
                <w:highlight w:val="none"/>
              </w:rPr>
            </w:pPr>
            <w:r>
              <w:rPr>
                <w:rFonts w:ascii="宋体" w:hAnsi="宋体"/>
                <w:color w:val="auto"/>
                <w:szCs w:val="21"/>
                <w:highlight w:val="none"/>
              </w:rPr>
              <w:t>10.</w:t>
            </w:r>
            <w:r>
              <w:rPr>
                <w:rFonts w:hint="eastAsia" w:ascii="宋体" w:hAnsi="宋体"/>
                <w:color w:val="auto"/>
                <w:szCs w:val="21"/>
                <w:highlight w:val="none"/>
              </w:rPr>
              <w:t>本工程所需材料（含设备）价格由竞选人参照</w:t>
            </w:r>
            <w:bookmarkStart w:id="46" w:name="OLE_LINK20"/>
            <w:bookmarkStart w:id="47" w:name="OLE_LINK22"/>
            <w:bookmarkStart w:id="48" w:name="OLE_LINK21"/>
            <w:r>
              <w:rPr>
                <w:rFonts w:hint="eastAsia" w:ascii="宋体" w:hAnsi="宋体"/>
                <w:color w:val="auto"/>
                <w:szCs w:val="21"/>
                <w:highlight w:val="none"/>
              </w:rPr>
              <w:t>重庆市涪陵区建筑业服务中心</w:t>
            </w:r>
            <w:r>
              <w:rPr>
                <w:rFonts w:hint="eastAsia" w:ascii="宋体" w:hAnsi="宋体" w:cs="宋体"/>
                <w:color w:val="auto"/>
                <w:szCs w:val="21"/>
                <w:highlight w:val="none"/>
              </w:rPr>
              <w:t>发布的</w:t>
            </w:r>
            <w:r>
              <w:rPr>
                <w:rFonts w:ascii="宋体" w:hAnsi="宋体" w:cs="宋体"/>
                <w:color w:val="auto"/>
                <w:szCs w:val="21"/>
                <w:highlight w:val="none"/>
              </w:rPr>
              <w:t>《涪陵工程造价信息》</w:t>
            </w:r>
            <w:r>
              <w:rPr>
                <w:rFonts w:hint="eastAsia" w:ascii="宋体" w:hAnsi="宋体" w:cs="宋体"/>
                <w:color w:val="auto"/>
                <w:szCs w:val="21"/>
                <w:highlight w:val="none"/>
              </w:rPr>
              <w:t>或工程造价管理机构发布的工程造价信息</w:t>
            </w:r>
            <w:bookmarkEnd w:id="46"/>
            <w:bookmarkEnd w:id="47"/>
            <w:bookmarkEnd w:id="48"/>
            <w:r>
              <w:rPr>
                <w:rFonts w:hint="eastAsia" w:ascii="宋体" w:hAnsi="宋体" w:cs="宋体"/>
                <w:color w:val="auto"/>
                <w:szCs w:val="21"/>
                <w:highlight w:val="none"/>
              </w:rPr>
              <w:t>（造价信息引用时限为招标公告发布日期前一期），并结合市场行情及自身实力进行自主报价。</w:t>
            </w:r>
          </w:p>
          <w:p w14:paraId="4DCF4454">
            <w:pPr>
              <w:pStyle w:val="2"/>
              <w:tabs>
                <w:tab w:val="left" w:pos="546"/>
                <w:tab w:val="left" w:pos="711"/>
              </w:tabs>
              <w:snapToGrid w:val="0"/>
              <w:spacing w:after="0" w:line="400" w:lineRule="exact"/>
              <w:ind w:firstLine="420" w:firstLineChars="200"/>
              <w:rPr>
                <w:rFonts w:ascii="宋体" w:hAnsi="宋体" w:cs="宋体"/>
                <w:color w:val="auto"/>
                <w:kern w:val="2"/>
                <w:sz w:val="21"/>
                <w:szCs w:val="21"/>
                <w:highlight w:val="none"/>
                <w:u w:val="single"/>
              </w:rPr>
            </w:pPr>
            <w:r>
              <w:rPr>
                <w:rFonts w:hint="eastAsia" w:ascii="宋体" w:hAnsi="宋体" w:cs="宋体"/>
                <w:color w:val="auto"/>
                <w:kern w:val="2"/>
                <w:sz w:val="21"/>
                <w:szCs w:val="21"/>
                <w:highlight w:val="none"/>
              </w:rPr>
              <w:t>11.本项目建筑安装材料价格风险按照《重庆市城乡建设委员会关于进一步加强建筑安装材料价格风险管控的指导意见》（渝建〔2018〕61号）执行。本项目主要材料及设备价格风险内容、范围及调整方法为：</w:t>
            </w:r>
            <w:r>
              <w:rPr>
                <w:rFonts w:hint="eastAsia" w:ascii="宋体" w:hAnsi="宋体" w:cs="宋体"/>
                <w:color w:val="auto"/>
                <w:kern w:val="2"/>
                <w:sz w:val="21"/>
                <w:szCs w:val="21"/>
                <w:highlight w:val="none"/>
                <w:u w:val="single"/>
              </w:rPr>
              <w:t>详见</w:t>
            </w:r>
            <w:r>
              <w:rPr>
                <w:rFonts w:hint="eastAsia"/>
                <w:color w:val="auto"/>
                <w:kern w:val="2"/>
                <w:sz w:val="21"/>
                <w:highlight w:val="none"/>
                <w:u w:val="single"/>
              </w:rPr>
              <w:t>专用合同条款。</w:t>
            </w:r>
          </w:p>
          <w:p w14:paraId="149DC757">
            <w:pPr>
              <w:pStyle w:val="2"/>
              <w:tabs>
                <w:tab w:val="left" w:pos="546"/>
                <w:tab w:val="left" w:pos="711"/>
              </w:tabs>
              <w:snapToGrid w:val="0"/>
              <w:spacing w:after="0" w:line="400" w:lineRule="exact"/>
              <w:ind w:firstLine="420" w:firstLineChars="200"/>
              <w:rPr>
                <w:rFonts w:ascii="宋体" w:hAnsi="宋体" w:cs="宋体"/>
                <w:color w:val="auto"/>
                <w:kern w:val="2"/>
                <w:sz w:val="21"/>
                <w:szCs w:val="21"/>
                <w:highlight w:val="none"/>
              </w:rPr>
            </w:pPr>
            <w:r>
              <w:rPr>
                <w:rFonts w:ascii="宋体" w:hAnsi="宋体" w:cs="宋体"/>
                <w:color w:val="auto"/>
                <w:kern w:val="2"/>
                <w:sz w:val="21"/>
                <w:szCs w:val="21"/>
                <w:highlight w:val="none"/>
              </w:rPr>
              <w:t xml:space="preserve"> 1</w:t>
            </w:r>
            <w:r>
              <w:rPr>
                <w:rFonts w:hint="eastAsia" w:ascii="宋体" w:hAnsi="宋体" w:cs="宋体"/>
                <w:color w:val="auto"/>
                <w:kern w:val="2"/>
                <w:sz w:val="21"/>
                <w:szCs w:val="21"/>
                <w:highlight w:val="none"/>
              </w:rPr>
              <w:t>2</w:t>
            </w:r>
            <w:r>
              <w:rPr>
                <w:rFonts w:ascii="宋体" w:hAnsi="宋体" w:cs="宋体"/>
                <w:color w:val="auto"/>
                <w:kern w:val="2"/>
                <w:sz w:val="21"/>
                <w:szCs w:val="21"/>
                <w:highlight w:val="none"/>
              </w:rPr>
              <w:t>.</w:t>
            </w:r>
            <w:r>
              <w:rPr>
                <w:rFonts w:hint="eastAsia" w:ascii="宋体" w:hAnsi="宋体" w:cs="宋体"/>
                <w:color w:val="auto"/>
                <w:kern w:val="2"/>
                <w:sz w:val="21"/>
                <w:szCs w:val="21"/>
                <w:highlight w:val="none"/>
              </w:rPr>
              <w:t>本项目所采用技术、工艺和产品等必须执行重庆市住房和城乡建设委员会关于发布《重庆市建设领域禁止、限制使用落后技术通告（2019年版）（渝建发〔2019〕25号）的规定。</w:t>
            </w:r>
          </w:p>
          <w:p w14:paraId="79E4FBE5">
            <w:pPr>
              <w:pStyle w:val="2"/>
              <w:tabs>
                <w:tab w:val="left" w:pos="546"/>
                <w:tab w:val="left" w:pos="711"/>
              </w:tabs>
              <w:snapToGrid w:val="0"/>
              <w:spacing w:after="0" w:line="400" w:lineRule="exact"/>
              <w:ind w:firstLine="420" w:firstLineChars="200"/>
              <w:rPr>
                <w:color w:val="auto"/>
                <w:highlight w:val="none"/>
              </w:rPr>
            </w:pPr>
            <w:r>
              <w:rPr>
                <w:rFonts w:ascii="宋体" w:hAnsi="宋体" w:cs="宋体"/>
                <w:color w:val="auto"/>
                <w:kern w:val="2"/>
                <w:sz w:val="21"/>
                <w:szCs w:val="21"/>
                <w:highlight w:val="none"/>
              </w:rPr>
              <w:t>1</w:t>
            </w:r>
            <w:r>
              <w:rPr>
                <w:rFonts w:hint="eastAsia" w:ascii="宋体" w:hAnsi="宋体" w:cs="宋体"/>
                <w:color w:val="auto"/>
                <w:kern w:val="2"/>
                <w:sz w:val="21"/>
                <w:szCs w:val="21"/>
                <w:highlight w:val="none"/>
              </w:rPr>
              <w:t>3</w:t>
            </w:r>
            <w:r>
              <w:rPr>
                <w:rFonts w:ascii="宋体" w:hAnsi="宋体" w:cs="宋体"/>
                <w:color w:val="auto"/>
                <w:kern w:val="2"/>
                <w:sz w:val="21"/>
                <w:szCs w:val="21"/>
                <w:highlight w:val="none"/>
              </w:rPr>
              <w:t>.</w:t>
            </w:r>
            <w:r>
              <w:rPr>
                <w:rFonts w:hint="eastAsia" w:ascii="宋体" w:hAnsi="宋体" w:cs="宋体"/>
                <w:color w:val="auto"/>
                <w:kern w:val="2"/>
                <w:sz w:val="21"/>
                <w:szCs w:val="21"/>
                <w:highlight w:val="none"/>
              </w:rPr>
              <w:t>本工程主体结构若需混凝土，则必须使用商品混凝土，不得自建搅拌站。</w:t>
            </w:r>
          </w:p>
        </w:tc>
      </w:tr>
      <w:tr w14:paraId="5DD21AC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14" w:hRule="atLeast"/>
          <w:jc w:val="center"/>
        </w:trPr>
        <w:tc>
          <w:tcPr>
            <w:tcW w:w="1221" w:type="dxa"/>
            <w:vAlign w:val="center"/>
          </w:tcPr>
          <w:p w14:paraId="2DAB78D8">
            <w:pPr>
              <w:snapToGrid w:val="0"/>
              <w:spacing w:line="400" w:lineRule="exact"/>
              <w:jc w:val="center"/>
              <w:rPr>
                <w:rFonts w:ascii="宋体" w:hAnsi="宋体"/>
                <w:color w:val="auto"/>
                <w:kern w:val="0"/>
                <w:szCs w:val="21"/>
                <w:highlight w:val="none"/>
              </w:rPr>
            </w:pPr>
            <w:r>
              <w:rPr>
                <w:rFonts w:ascii="宋体" w:hAnsi="宋体"/>
                <w:color w:val="auto"/>
                <w:kern w:val="0"/>
                <w:szCs w:val="21"/>
                <w:highlight w:val="none"/>
              </w:rPr>
              <w:t>3.3.1</w:t>
            </w:r>
          </w:p>
        </w:tc>
        <w:tc>
          <w:tcPr>
            <w:tcW w:w="1610" w:type="dxa"/>
            <w:vAlign w:val="center"/>
          </w:tcPr>
          <w:p w14:paraId="68EAD710">
            <w:pPr>
              <w:snapToGrid w:val="0"/>
              <w:spacing w:line="400" w:lineRule="exact"/>
              <w:jc w:val="center"/>
              <w:rPr>
                <w:rFonts w:ascii="宋体" w:hAnsi="宋体"/>
                <w:color w:val="auto"/>
                <w:kern w:val="0"/>
                <w:szCs w:val="21"/>
                <w:highlight w:val="none"/>
              </w:rPr>
            </w:pPr>
            <w:r>
              <w:rPr>
                <w:rFonts w:hint="eastAsia" w:ascii="宋体" w:hAnsi="宋体"/>
                <w:color w:val="auto"/>
                <w:kern w:val="0"/>
                <w:szCs w:val="21"/>
                <w:highlight w:val="none"/>
              </w:rPr>
              <w:t>竞选</w:t>
            </w:r>
            <w:r>
              <w:rPr>
                <w:rFonts w:ascii="宋体" w:hAnsi="宋体"/>
                <w:color w:val="auto"/>
                <w:kern w:val="0"/>
                <w:szCs w:val="21"/>
                <w:highlight w:val="none"/>
              </w:rPr>
              <w:t>有效期</w:t>
            </w:r>
          </w:p>
        </w:tc>
        <w:tc>
          <w:tcPr>
            <w:tcW w:w="6737" w:type="dxa"/>
            <w:vAlign w:val="center"/>
          </w:tcPr>
          <w:p w14:paraId="4CEA379A">
            <w:pPr>
              <w:snapToGrid w:val="0"/>
              <w:spacing w:line="400" w:lineRule="exact"/>
              <w:ind w:firstLine="420" w:firstLineChars="200"/>
              <w:rPr>
                <w:rFonts w:ascii="宋体" w:hAnsi="宋体"/>
                <w:color w:val="auto"/>
                <w:szCs w:val="21"/>
                <w:highlight w:val="none"/>
              </w:rPr>
            </w:pPr>
            <w:r>
              <w:rPr>
                <w:rFonts w:hint="eastAsia" w:ascii="宋体" w:hAnsi="宋体"/>
                <w:color w:val="auto"/>
                <w:szCs w:val="21"/>
                <w:highlight w:val="none"/>
                <w:u w:val="single"/>
              </w:rPr>
              <w:t>90</w:t>
            </w:r>
            <w:r>
              <w:rPr>
                <w:rFonts w:ascii="宋体" w:hAnsi="宋体"/>
                <w:color w:val="auto"/>
                <w:szCs w:val="21"/>
                <w:highlight w:val="none"/>
                <w:u w:val="single"/>
              </w:rPr>
              <w:t xml:space="preserve">  </w:t>
            </w:r>
            <w:r>
              <w:rPr>
                <w:rFonts w:ascii="宋体" w:hAnsi="宋体"/>
                <w:color w:val="auto"/>
                <w:szCs w:val="21"/>
                <w:highlight w:val="none"/>
              </w:rPr>
              <w:t>日历天（从提交</w:t>
            </w:r>
            <w:r>
              <w:rPr>
                <w:rFonts w:hint="eastAsia" w:ascii="宋体" w:hAnsi="宋体"/>
                <w:color w:val="auto"/>
                <w:szCs w:val="21"/>
                <w:highlight w:val="none"/>
              </w:rPr>
              <w:t>竞选</w:t>
            </w:r>
            <w:r>
              <w:rPr>
                <w:rFonts w:ascii="宋体" w:hAnsi="宋体"/>
                <w:color w:val="auto"/>
                <w:szCs w:val="21"/>
                <w:highlight w:val="none"/>
              </w:rPr>
              <w:t>文件截止日起计算）</w:t>
            </w:r>
          </w:p>
        </w:tc>
      </w:tr>
      <w:tr w14:paraId="32C37BB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855" w:hRule="atLeast"/>
          <w:jc w:val="center"/>
        </w:trPr>
        <w:tc>
          <w:tcPr>
            <w:tcW w:w="1221" w:type="dxa"/>
            <w:vAlign w:val="center"/>
          </w:tcPr>
          <w:p w14:paraId="3F8F6800">
            <w:pPr>
              <w:snapToGrid w:val="0"/>
              <w:spacing w:line="400" w:lineRule="exact"/>
              <w:jc w:val="center"/>
              <w:rPr>
                <w:rFonts w:ascii="宋体" w:hAnsi="宋体"/>
                <w:color w:val="auto"/>
                <w:kern w:val="0"/>
                <w:szCs w:val="21"/>
                <w:highlight w:val="none"/>
              </w:rPr>
            </w:pPr>
            <w:r>
              <w:rPr>
                <w:rFonts w:ascii="宋体" w:hAnsi="宋体"/>
                <w:color w:val="auto"/>
                <w:kern w:val="0"/>
                <w:szCs w:val="21"/>
                <w:highlight w:val="none"/>
              </w:rPr>
              <w:t>3.4</w:t>
            </w:r>
          </w:p>
        </w:tc>
        <w:tc>
          <w:tcPr>
            <w:tcW w:w="1610" w:type="dxa"/>
            <w:vAlign w:val="center"/>
          </w:tcPr>
          <w:p w14:paraId="59C9FBD1">
            <w:pPr>
              <w:snapToGrid w:val="0"/>
              <w:spacing w:line="400" w:lineRule="exact"/>
              <w:jc w:val="center"/>
              <w:rPr>
                <w:rFonts w:ascii="宋体" w:hAnsi="宋体"/>
                <w:color w:val="auto"/>
                <w:kern w:val="0"/>
                <w:szCs w:val="21"/>
                <w:highlight w:val="none"/>
              </w:rPr>
            </w:pPr>
            <w:r>
              <w:rPr>
                <w:rFonts w:hint="eastAsia" w:ascii="宋体" w:hAnsi="宋体"/>
                <w:color w:val="auto"/>
                <w:kern w:val="0"/>
                <w:szCs w:val="21"/>
                <w:highlight w:val="none"/>
              </w:rPr>
              <w:t>竞选</w:t>
            </w:r>
            <w:r>
              <w:rPr>
                <w:rFonts w:ascii="宋体" w:hAnsi="宋体"/>
                <w:color w:val="auto"/>
                <w:kern w:val="0"/>
                <w:szCs w:val="21"/>
                <w:highlight w:val="none"/>
              </w:rPr>
              <w:t>保证金</w:t>
            </w:r>
          </w:p>
        </w:tc>
        <w:tc>
          <w:tcPr>
            <w:tcW w:w="6737" w:type="dxa"/>
            <w:vAlign w:val="center"/>
          </w:tcPr>
          <w:p w14:paraId="589E07A6">
            <w:pPr>
              <w:keepNext w:val="0"/>
              <w:keepLines w:val="0"/>
              <w:pageBreakBefore w:val="0"/>
              <w:widowControl w:val="0"/>
              <w:kinsoku/>
              <w:wordWrap/>
              <w:overflowPunct/>
              <w:topLinePunct w:val="0"/>
              <w:bidi w:val="0"/>
              <w:spacing w:line="400" w:lineRule="exact"/>
              <w:ind w:firstLine="420" w:firstLineChars="200"/>
              <w:textAlignment w:val="auto"/>
              <w:rPr>
                <w:color w:val="auto"/>
                <w:highlight w:val="none"/>
              </w:rPr>
            </w:pPr>
            <w:r>
              <w:rPr>
                <w:rFonts w:hint="eastAsia" w:ascii="宋体" w:hAnsi="宋体" w:cs="宋体"/>
                <w:color w:val="auto"/>
                <w:kern w:val="2"/>
                <w:sz w:val="21"/>
                <w:szCs w:val="21"/>
                <w:highlight w:val="none"/>
                <w:lang w:val="en-US" w:eastAsia="zh-CN" w:bidi="ar-SA"/>
              </w:rPr>
              <w:t>无</w:t>
            </w:r>
          </w:p>
        </w:tc>
      </w:tr>
      <w:tr w14:paraId="607DDF8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1221" w:type="dxa"/>
            <w:vAlign w:val="center"/>
          </w:tcPr>
          <w:p w14:paraId="6AEE8276">
            <w:pPr>
              <w:snapToGrid w:val="0"/>
              <w:spacing w:line="400" w:lineRule="exact"/>
              <w:jc w:val="center"/>
              <w:rPr>
                <w:rFonts w:ascii="宋体" w:hAnsi="宋体"/>
                <w:color w:val="auto"/>
                <w:kern w:val="0"/>
                <w:szCs w:val="21"/>
                <w:highlight w:val="none"/>
              </w:rPr>
            </w:pPr>
            <w:r>
              <w:rPr>
                <w:rFonts w:ascii="宋体" w:hAnsi="宋体"/>
                <w:color w:val="auto"/>
                <w:kern w:val="0"/>
                <w:szCs w:val="21"/>
                <w:highlight w:val="none"/>
              </w:rPr>
              <w:t>3.</w:t>
            </w:r>
            <w:r>
              <w:rPr>
                <w:rFonts w:hint="eastAsia" w:ascii="宋体" w:hAnsi="宋体"/>
                <w:color w:val="auto"/>
                <w:kern w:val="0"/>
                <w:szCs w:val="21"/>
                <w:highlight w:val="none"/>
              </w:rPr>
              <w:t>5</w:t>
            </w:r>
          </w:p>
        </w:tc>
        <w:tc>
          <w:tcPr>
            <w:tcW w:w="1610" w:type="dxa"/>
            <w:vAlign w:val="center"/>
          </w:tcPr>
          <w:p w14:paraId="520EE024">
            <w:pPr>
              <w:snapToGrid w:val="0"/>
              <w:spacing w:line="400" w:lineRule="exact"/>
              <w:rPr>
                <w:rFonts w:ascii="宋体" w:hAnsi="宋体"/>
                <w:color w:val="auto"/>
                <w:kern w:val="0"/>
                <w:szCs w:val="21"/>
                <w:highlight w:val="none"/>
              </w:rPr>
            </w:pPr>
            <w:r>
              <w:rPr>
                <w:rFonts w:ascii="宋体" w:hAnsi="宋体"/>
                <w:color w:val="auto"/>
                <w:kern w:val="0"/>
                <w:szCs w:val="21"/>
                <w:highlight w:val="none"/>
              </w:rPr>
              <w:t>资格审查资料</w:t>
            </w:r>
          </w:p>
        </w:tc>
        <w:tc>
          <w:tcPr>
            <w:tcW w:w="6737" w:type="dxa"/>
            <w:vAlign w:val="center"/>
          </w:tcPr>
          <w:p w14:paraId="53C3BEB1">
            <w:pPr>
              <w:snapToGrid w:val="0"/>
              <w:spacing w:after="72" w:afterLines="30" w:line="400" w:lineRule="exact"/>
              <w:ind w:firstLine="420" w:firstLineChars="200"/>
              <w:rPr>
                <w:rFonts w:ascii="宋体" w:hAnsi="宋体"/>
                <w:color w:val="auto"/>
                <w:kern w:val="0"/>
                <w:szCs w:val="21"/>
                <w:highlight w:val="none"/>
              </w:rPr>
            </w:pPr>
            <w:r>
              <w:rPr>
                <w:rFonts w:hint="eastAsia" w:ascii="宋体" w:hAnsi="宋体"/>
                <w:color w:val="auto"/>
                <w:kern w:val="0"/>
                <w:szCs w:val="21"/>
                <w:highlight w:val="none"/>
              </w:rPr>
              <w:t>/</w:t>
            </w:r>
          </w:p>
        </w:tc>
      </w:tr>
      <w:tr w14:paraId="4FCFACF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59" w:hRule="atLeast"/>
          <w:jc w:val="center"/>
        </w:trPr>
        <w:tc>
          <w:tcPr>
            <w:tcW w:w="1221" w:type="dxa"/>
            <w:vAlign w:val="center"/>
          </w:tcPr>
          <w:p w14:paraId="33691FA1">
            <w:pPr>
              <w:snapToGrid w:val="0"/>
              <w:spacing w:line="400" w:lineRule="exact"/>
              <w:jc w:val="center"/>
              <w:rPr>
                <w:rFonts w:ascii="宋体" w:hAnsi="宋体"/>
                <w:color w:val="auto"/>
                <w:kern w:val="0"/>
                <w:szCs w:val="21"/>
                <w:highlight w:val="none"/>
              </w:rPr>
            </w:pPr>
            <w:r>
              <w:rPr>
                <w:rFonts w:ascii="宋体" w:hAnsi="宋体"/>
                <w:color w:val="auto"/>
                <w:kern w:val="0"/>
                <w:szCs w:val="21"/>
                <w:highlight w:val="none"/>
              </w:rPr>
              <w:t>3.6</w:t>
            </w:r>
          </w:p>
        </w:tc>
        <w:tc>
          <w:tcPr>
            <w:tcW w:w="1610" w:type="dxa"/>
            <w:vAlign w:val="center"/>
          </w:tcPr>
          <w:p w14:paraId="17577AB1">
            <w:pPr>
              <w:snapToGrid w:val="0"/>
              <w:spacing w:line="400" w:lineRule="exact"/>
              <w:jc w:val="center"/>
              <w:rPr>
                <w:rFonts w:ascii="宋体" w:hAnsi="宋体"/>
                <w:color w:val="auto"/>
                <w:kern w:val="0"/>
                <w:szCs w:val="21"/>
                <w:highlight w:val="none"/>
              </w:rPr>
            </w:pPr>
            <w:r>
              <w:rPr>
                <w:rFonts w:ascii="宋体" w:hAnsi="宋体"/>
                <w:color w:val="auto"/>
                <w:kern w:val="0"/>
                <w:szCs w:val="21"/>
                <w:highlight w:val="none"/>
              </w:rPr>
              <w:t>是否允许递交</w:t>
            </w:r>
          </w:p>
          <w:p w14:paraId="6FB1F2D0">
            <w:pPr>
              <w:snapToGrid w:val="0"/>
              <w:spacing w:after="72" w:afterLines="30" w:line="400" w:lineRule="exact"/>
              <w:jc w:val="center"/>
              <w:rPr>
                <w:rFonts w:ascii="宋体" w:hAnsi="宋体"/>
                <w:color w:val="auto"/>
                <w:kern w:val="0"/>
                <w:szCs w:val="21"/>
                <w:highlight w:val="none"/>
              </w:rPr>
            </w:pPr>
            <w:r>
              <w:rPr>
                <w:rFonts w:ascii="宋体" w:hAnsi="宋体"/>
                <w:color w:val="auto"/>
                <w:kern w:val="0"/>
                <w:szCs w:val="21"/>
                <w:highlight w:val="none"/>
              </w:rPr>
              <w:t>备选</w:t>
            </w:r>
            <w:r>
              <w:rPr>
                <w:rFonts w:hint="eastAsia" w:ascii="宋体" w:hAnsi="宋体"/>
                <w:color w:val="auto"/>
                <w:kern w:val="0"/>
                <w:szCs w:val="21"/>
                <w:highlight w:val="none"/>
              </w:rPr>
              <w:t>竞选</w:t>
            </w:r>
            <w:r>
              <w:rPr>
                <w:rFonts w:ascii="宋体" w:hAnsi="宋体"/>
                <w:color w:val="auto"/>
                <w:kern w:val="0"/>
                <w:szCs w:val="21"/>
                <w:highlight w:val="none"/>
              </w:rPr>
              <w:t>方案</w:t>
            </w:r>
          </w:p>
        </w:tc>
        <w:tc>
          <w:tcPr>
            <w:tcW w:w="6737" w:type="dxa"/>
            <w:vAlign w:val="center"/>
          </w:tcPr>
          <w:p w14:paraId="0F0E20C6">
            <w:pPr>
              <w:snapToGrid w:val="0"/>
              <w:spacing w:line="400" w:lineRule="exact"/>
              <w:ind w:firstLine="420" w:firstLineChars="200"/>
              <w:rPr>
                <w:rFonts w:ascii="宋体" w:hAnsi="宋体"/>
                <w:color w:val="auto"/>
                <w:kern w:val="0"/>
                <w:szCs w:val="21"/>
                <w:highlight w:val="none"/>
              </w:rPr>
            </w:pPr>
            <w:r>
              <w:rPr>
                <w:rFonts w:ascii="宋体" w:hAnsi="宋体"/>
                <w:color w:val="auto"/>
                <w:kern w:val="0"/>
                <w:szCs w:val="21"/>
                <w:highlight w:val="none"/>
              </w:rPr>
              <w:t>不允许</w:t>
            </w:r>
          </w:p>
        </w:tc>
      </w:tr>
      <w:tr w14:paraId="6ED495A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868" w:hRule="atLeast"/>
          <w:jc w:val="center"/>
        </w:trPr>
        <w:tc>
          <w:tcPr>
            <w:tcW w:w="1221" w:type="dxa"/>
            <w:vAlign w:val="center"/>
          </w:tcPr>
          <w:p w14:paraId="41106E5D">
            <w:pPr>
              <w:snapToGrid w:val="0"/>
              <w:spacing w:line="400" w:lineRule="exact"/>
              <w:jc w:val="center"/>
              <w:rPr>
                <w:rFonts w:ascii="宋体" w:hAnsi="宋体"/>
                <w:color w:val="auto"/>
                <w:kern w:val="0"/>
                <w:szCs w:val="21"/>
                <w:highlight w:val="none"/>
              </w:rPr>
            </w:pPr>
            <w:r>
              <w:rPr>
                <w:rFonts w:ascii="宋体" w:hAnsi="宋体"/>
                <w:color w:val="auto"/>
                <w:kern w:val="0"/>
                <w:szCs w:val="21"/>
                <w:highlight w:val="none"/>
              </w:rPr>
              <w:t>3.7.</w:t>
            </w:r>
            <w:r>
              <w:rPr>
                <w:rFonts w:hint="eastAsia" w:ascii="宋体" w:hAnsi="宋体"/>
                <w:color w:val="auto"/>
                <w:kern w:val="0"/>
                <w:szCs w:val="21"/>
                <w:highlight w:val="none"/>
              </w:rPr>
              <w:t>1</w:t>
            </w:r>
          </w:p>
        </w:tc>
        <w:tc>
          <w:tcPr>
            <w:tcW w:w="1610" w:type="dxa"/>
            <w:vAlign w:val="center"/>
          </w:tcPr>
          <w:p w14:paraId="23350C07">
            <w:pPr>
              <w:snapToGrid w:val="0"/>
              <w:spacing w:line="400" w:lineRule="exact"/>
              <w:jc w:val="center"/>
              <w:rPr>
                <w:rFonts w:ascii="宋体" w:hAnsi="宋体"/>
                <w:color w:val="auto"/>
                <w:kern w:val="0"/>
                <w:szCs w:val="21"/>
                <w:highlight w:val="none"/>
              </w:rPr>
            </w:pPr>
            <w:r>
              <w:rPr>
                <w:rFonts w:ascii="宋体" w:hAnsi="宋体"/>
                <w:color w:val="auto"/>
                <w:kern w:val="0"/>
                <w:szCs w:val="21"/>
                <w:highlight w:val="none"/>
              </w:rPr>
              <w:t>签字盖章要求</w:t>
            </w:r>
          </w:p>
        </w:tc>
        <w:tc>
          <w:tcPr>
            <w:tcW w:w="6737" w:type="dxa"/>
            <w:vAlign w:val="center"/>
          </w:tcPr>
          <w:p w14:paraId="460D648C">
            <w:pPr>
              <w:snapToGrid w:val="0"/>
              <w:spacing w:line="400" w:lineRule="exact"/>
              <w:ind w:firstLine="420" w:firstLineChars="200"/>
              <w:rPr>
                <w:rFonts w:ascii="宋体" w:hAnsi="宋体"/>
                <w:color w:val="auto"/>
                <w:szCs w:val="21"/>
                <w:highlight w:val="none"/>
              </w:rPr>
            </w:pPr>
            <w:r>
              <w:rPr>
                <w:rFonts w:hint="eastAsia" w:ascii="宋体" w:hAnsi="宋体"/>
                <w:color w:val="auto"/>
                <w:szCs w:val="21"/>
                <w:highlight w:val="none"/>
              </w:rPr>
              <w:t>竞选文件应用不褪色的材料书写或打印或复印，并由竞选人的法定代表人或其委托代理人在招标文件规定的位置按招标文件要求签字或盖章、盖单位法人章。委托代理人签字的，竞选文件应附法定代表人签署的授权委托书。竞选文件应尽量避免涂改、行间插字或删除。如果出现上述情况，改动之处应加盖单位法人章或由竞选人的法定代表人或其授权的代理人签字确认。</w:t>
            </w:r>
          </w:p>
          <w:p w14:paraId="203FD91D">
            <w:pPr>
              <w:snapToGrid w:val="0"/>
              <w:spacing w:line="400" w:lineRule="exact"/>
              <w:ind w:firstLine="420" w:firstLineChars="200"/>
              <w:rPr>
                <w:rFonts w:ascii="宋体" w:hAnsi="宋体"/>
                <w:i/>
                <w:color w:val="auto"/>
                <w:szCs w:val="21"/>
                <w:highlight w:val="none"/>
              </w:rPr>
            </w:pPr>
            <w:r>
              <w:rPr>
                <w:rFonts w:hint="eastAsia" w:ascii="宋体" w:hAnsi="宋体"/>
                <w:color w:val="auto"/>
                <w:szCs w:val="21"/>
                <w:highlight w:val="none"/>
              </w:rPr>
              <w:t>未按上述规定执行的，交由评标委员会作否决投标处理。</w:t>
            </w:r>
          </w:p>
        </w:tc>
      </w:tr>
      <w:tr w14:paraId="7577A94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148" w:hRule="atLeast"/>
          <w:jc w:val="center"/>
        </w:trPr>
        <w:tc>
          <w:tcPr>
            <w:tcW w:w="1221" w:type="dxa"/>
            <w:vAlign w:val="center"/>
          </w:tcPr>
          <w:p w14:paraId="6472F8CD">
            <w:pPr>
              <w:snapToGrid w:val="0"/>
              <w:spacing w:line="400" w:lineRule="exact"/>
              <w:jc w:val="center"/>
              <w:rPr>
                <w:rFonts w:ascii="宋体" w:hAnsi="宋体"/>
                <w:color w:val="auto"/>
                <w:kern w:val="0"/>
                <w:szCs w:val="21"/>
                <w:highlight w:val="none"/>
              </w:rPr>
            </w:pPr>
            <w:r>
              <w:rPr>
                <w:rFonts w:ascii="宋体" w:hAnsi="宋体"/>
                <w:color w:val="auto"/>
                <w:kern w:val="0"/>
                <w:szCs w:val="21"/>
                <w:highlight w:val="none"/>
              </w:rPr>
              <w:t>3.7.</w:t>
            </w:r>
            <w:r>
              <w:rPr>
                <w:rFonts w:hint="eastAsia" w:ascii="宋体" w:hAnsi="宋体"/>
                <w:color w:val="auto"/>
                <w:kern w:val="0"/>
                <w:szCs w:val="21"/>
                <w:highlight w:val="none"/>
              </w:rPr>
              <w:t>2</w:t>
            </w:r>
          </w:p>
        </w:tc>
        <w:tc>
          <w:tcPr>
            <w:tcW w:w="1610" w:type="dxa"/>
            <w:vAlign w:val="center"/>
          </w:tcPr>
          <w:p w14:paraId="514F3E5D">
            <w:pPr>
              <w:snapToGrid w:val="0"/>
              <w:spacing w:line="400" w:lineRule="exact"/>
              <w:rPr>
                <w:rFonts w:ascii="宋体" w:hAnsi="宋体"/>
                <w:color w:val="auto"/>
                <w:spacing w:val="-6"/>
                <w:kern w:val="0"/>
                <w:szCs w:val="21"/>
                <w:highlight w:val="none"/>
              </w:rPr>
            </w:pPr>
            <w:r>
              <w:rPr>
                <w:rFonts w:hint="eastAsia" w:ascii="宋体" w:hAnsi="宋体"/>
                <w:color w:val="auto"/>
                <w:spacing w:val="-6"/>
                <w:kern w:val="0"/>
                <w:szCs w:val="21"/>
                <w:highlight w:val="none"/>
              </w:rPr>
              <w:t>竞选</w:t>
            </w:r>
            <w:r>
              <w:rPr>
                <w:rFonts w:ascii="宋体" w:hAnsi="宋体"/>
                <w:color w:val="auto"/>
                <w:spacing w:val="-6"/>
                <w:kern w:val="0"/>
                <w:szCs w:val="21"/>
                <w:highlight w:val="none"/>
              </w:rPr>
              <w:t>文件的份数</w:t>
            </w:r>
          </w:p>
        </w:tc>
        <w:tc>
          <w:tcPr>
            <w:tcW w:w="6737" w:type="dxa"/>
            <w:vAlign w:val="center"/>
          </w:tcPr>
          <w:p w14:paraId="344E4929">
            <w:pPr>
              <w:autoSpaceDE w:val="0"/>
              <w:autoSpaceDN w:val="0"/>
              <w:adjustRightInd w:val="0"/>
              <w:snapToGrid w:val="0"/>
              <w:spacing w:line="400" w:lineRule="exact"/>
              <w:ind w:firstLine="420" w:firstLineChars="200"/>
              <w:rPr>
                <w:rFonts w:ascii="宋体" w:hAnsi="宋体"/>
                <w:color w:val="auto"/>
                <w:kern w:val="0"/>
                <w:szCs w:val="21"/>
                <w:highlight w:val="none"/>
              </w:rPr>
            </w:pPr>
            <w:r>
              <w:rPr>
                <w:rFonts w:hint="eastAsia" w:ascii="宋体" w:hAnsi="宋体"/>
                <w:color w:val="auto"/>
                <w:kern w:val="0"/>
                <w:szCs w:val="21"/>
                <w:highlight w:val="none"/>
              </w:rPr>
              <w:t>①竞选文件的份数：</w:t>
            </w:r>
          </w:p>
          <w:p w14:paraId="25BCB2F6">
            <w:pPr>
              <w:autoSpaceDE w:val="0"/>
              <w:autoSpaceDN w:val="0"/>
              <w:adjustRightInd w:val="0"/>
              <w:snapToGrid w:val="0"/>
              <w:spacing w:line="400" w:lineRule="exact"/>
              <w:ind w:firstLine="420" w:firstLineChars="200"/>
              <w:rPr>
                <w:rFonts w:ascii="宋体" w:hAnsi="宋体"/>
                <w:color w:val="auto"/>
                <w:kern w:val="0"/>
                <w:szCs w:val="21"/>
                <w:highlight w:val="none"/>
              </w:rPr>
            </w:pPr>
            <w:r>
              <w:rPr>
                <w:rFonts w:hint="eastAsia" w:ascii="宋体" w:hAnsi="宋体"/>
                <w:color w:val="auto"/>
                <w:kern w:val="0"/>
                <w:szCs w:val="21"/>
                <w:highlight w:val="none"/>
              </w:rPr>
              <w:t>竞选文件正本1份，竞选文件副本份数2份,</w:t>
            </w:r>
            <w:r>
              <w:rPr>
                <w:rFonts w:hint="eastAsia" w:ascii="宋体" w:hAnsi="宋体"/>
                <w:color w:val="auto"/>
                <w:szCs w:val="21"/>
                <w:highlight w:val="none"/>
              </w:rPr>
              <w:t>纸质件可不包含工程量清单单价分析表）</w:t>
            </w:r>
          </w:p>
          <w:p w14:paraId="7C087D37">
            <w:pPr>
              <w:autoSpaceDE w:val="0"/>
              <w:autoSpaceDN w:val="0"/>
              <w:adjustRightInd w:val="0"/>
              <w:snapToGrid w:val="0"/>
              <w:spacing w:line="400" w:lineRule="exact"/>
              <w:ind w:firstLine="420" w:firstLineChars="200"/>
              <w:rPr>
                <w:rFonts w:ascii="宋体" w:hAnsi="宋体"/>
                <w:color w:val="auto"/>
                <w:kern w:val="0"/>
                <w:szCs w:val="21"/>
                <w:highlight w:val="none"/>
              </w:rPr>
            </w:pPr>
            <w:r>
              <w:rPr>
                <w:rFonts w:hint="eastAsia" w:ascii="宋体" w:hAnsi="宋体"/>
                <w:color w:val="auto"/>
                <w:kern w:val="0"/>
                <w:szCs w:val="21"/>
                <w:highlight w:val="none"/>
              </w:rPr>
              <w:t>②其他要求：</w:t>
            </w:r>
          </w:p>
          <w:p w14:paraId="217EA0B1">
            <w:pPr>
              <w:autoSpaceDE w:val="0"/>
              <w:autoSpaceDN w:val="0"/>
              <w:adjustRightInd w:val="0"/>
              <w:snapToGrid w:val="0"/>
              <w:spacing w:line="400" w:lineRule="exact"/>
              <w:ind w:firstLine="420" w:firstLineChars="200"/>
              <w:rPr>
                <w:rFonts w:ascii="宋体" w:hAnsi="宋体"/>
                <w:color w:val="auto"/>
                <w:kern w:val="0"/>
                <w:szCs w:val="21"/>
                <w:highlight w:val="none"/>
              </w:rPr>
            </w:pPr>
            <w:r>
              <w:rPr>
                <w:rFonts w:hint="eastAsia" w:ascii="宋体" w:hAnsi="宋体"/>
                <w:color w:val="auto"/>
                <w:kern w:val="0"/>
                <w:szCs w:val="21"/>
                <w:highlight w:val="none"/>
              </w:rPr>
              <w:t>A.竞选文件内容按竞争性比选文件第七章“竞选文件格式”要求的格式进行装订。</w:t>
            </w:r>
          </w:p>
          <w:p w14:paraId="0A143D5E">
            <w:pPr>
              <w:autoSpaceDE w:val="0"/>
              <w:autoSpaceDN w:val="0"/>
              <w:adjustRightInd w:val="0"/>
              <w:snapToGrid w:val="0"/>
              <w:spacing w:line="400" w:lineRule="exact"/>
              <w:ind w:firstLine="420" w:firstLineChars="200"/>
              <w:rPr>
                <w:rFonts w:ascii="宋体" w:hAnsi="宋体"/>
                <w:color w:val="auto"/>
                <w:kern w:val="0"/>
                <w:szCs w:val="21"/>
                <w:highlight w:val="none"/>
              </w:rPr>
            </w:pPr>
            <w:r>
              <w:rPr>
                <w:rFonts w:hint="eastAsia" w:ascii="宋体" w:hAnsi="宋体"/>
                <w:color w:val="auto"/>
                <w:kern w:val="0"/>
                <w:szCs w:val="21"/>
                <w:highlight w:val="none"/>
              </w:rPr>
              <w:t>B.竞选文件须装订成册，并应编制目录。</w:t>
            </w:r>
          </w:p>
          <w:p w14:paraId="5E2FBF43">
            <w:pPr>
              <w:autoSpaceDE w:val="0"/>
              <w:autoSpaceDN w:val="0"/>
              <w:adjustRightInd w:val="0"/>
              <w:snapToGrid w:val="0"/>
              <w:spacing w:line="400" w:lineRule="exact"/>
              <w:ind w:firstLine="420" w:firstLineChars="200"/>
              <w:rPr>
                <w:rFonts w:ascii="宋体" w:hAnsi="宋体"/>
                <w:color w:val="auto"/>
                <w:kern w:val="0"/>
                <w:szCs w:val="21"/>
                <w:highlight w:val="none"/>
              </w:rPr>
            </w:pPr>
            <w:r>
              <w:rPr>
                <w:rFonts w:hint="eastAsia" w:ascii="宋体" w:hAnsi="宋体"/>
                <w:color w:val="auto"/>
                <w:kern w:val="0"/>
                <w:szCs w:val="21"/>
                <w:highlight w:val="none"/>
              </w:rPr>
              <w:t>C.竞选文件分为正本和副本，正本文件内的签字（或盖章）须为原件。副本可为正本的复印件，同时须在竞选文件封面上注明“正本”、“副本”。电子竞选文件上须注明竞选人单位名称。</w:t>
            </w:r>
          </w:p>
          <w:p w14:paraId="3F0D133C">
            <w:pPr>
              <w:autoSpaceDE w:val="0"/>
              <w:autoSpaceDN w:val="0"/>
              <w:adjustRightInd w:val="0"/>
              <w:snapToGrid w:val="0"/>
              <w:spacing w:line="400" w:lineRule="exact"/>
              <w:ind w:firstLine="420" w:firstLineChars="200"/>
              <w:rPr>
                <w:rFonts w:ascii="宋体" w:hAnsi="宋体"/>
                <w:color w:val="auto"/>
                <w:kern w:val="0"/>
                <w:szCs w:val="21"/>
                <w:highlight w:val="none"/>
              </w:rPr>
            </w:pPr>
            <w:r>
              <w:rPr>
                <w:rFonts w:hint="eastAsia" w:ascii="宋体" w:hAnsi="宋体"/>
                <w:color w:val="auto"/>
                <w:kern w:val="0"/>
                <w:szCs w:val="21"/>
                <w:highlight w:val="none"/>
              </w:rPr>
              <w:t>D.竞争性比选文件中已提供了竞选文件格式的部分，必须按其格式填写和提供。</w:t>
            </w:r>
          </w:p>
        </w:tc>
      </w:tr>
      <w:tr w14:paraId="45F3BCB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57" w:hRule="atLeast"/>
          <w:jc w:val="center"/>
        </w:trPr>
        <w:tc>
          <w:tcPr>
            <w:tcW w:w="1221" w:type="dxa"/>
            <w:vAlign w:val="center"/>
          </w:tcPr>
          <w:p w14:paraId="0B3545BD">
            <w:pPr>
              <w:snapToGrid w:val="0"/>
              <w:spacing w:line="400" w:lineRule="exact"/>
              <w:jc w:val="center"/>
              <w:rPr>
                <w:rFonts w:ascii="宋体" w:hAnsi="宋体"/>
                <w:color w:val="auto"/>
                <w:kern w:val="0"/>
                <w:szCs w:val="21"/>
                <w:highlight w:val="none"/>
              </w:rPr>
            </w:pPr>
            <w:r>
              <w:rPr>
                <w:rFonts w:ascii="宋体" w:hAnsi="宋体"/>
                <w:color w:val="auto"/>
                <w:kern w:val="0"/>
                <w:szCs w:val="21"/>
                <w:highlight w:val="none"/>
              </w:rPr>
              <w:t>3.7.</w:t>
            </w:r>
            <w:r>
              <w:rPr>
                <w:rFonts w:hint="eastAsia" w:ascii="宋体" w:hAnsi="宋体"/>
                <w:color w:val="auto"/>
                <w:kern w:val="0"/>
                <w:szCs w:val="21"/>
                <w:highlight w:val="none"/>
              </w:rPr>
              <w:t>3</w:t>
            </w:r>
          </w:p>
        </w:tc>
        <w:tc>
          <w:tcPr>
            <w:tcW w:w="1610" w:type="dxa"/>
            <w:vAlign w:val="center"/>
          </w:tcPr>
          <w:p w14:paraId="4B5BD542">
            <w:pPr>
              <w:snapToGrid w:val="0"/>
              <w:spacing w:line="400" w:lineRule="exact"/>
              <w:rPr>
                <w:rFonts w:ascii="宋体" w:hAnsi="宋体"/>
                <w:color w:val="auto"/>
                <w:kern w:val="0"/>
                <w:szCs w:val="21"/>
                <w:highlight w:val="none"/>
              </w:rPr>
            </w:pPr>
            <w:r>
              <w:rPr>
                <w:rFonts w:ascii="宋体" w:hAnsi="宋体"/>
                <w:color w:val="auto"/>
                <w:kern w:val="0"/>
                <w:szCs w:val="21"/>
                <w:highlight w:val="none"/>
              </w:rPr>
              <w:t>装订要求</w:t>
            </w:r>
          </w:p>
        </w:tc>
        <w:tc>
          <w:tcPr>
            <w:tcW w:w="6737" w:type="dxa"/>
            <w:vAlign w:val="center"/>
          </w:tcPr>
          <w:p w14:paraId="60CA8016">
            <w:pPr>
              <w:adjustRightInd w:val="0"/>
              <w:snapToGrid w:val="0"/>
              <w:spacing w:line="400" w:lineRule="exact"/>
              <w:ind w:firstLine="420" w:firstLineChars="200"/>
              <w:rPr>
                <w:rFonts w:ascii="宋体" w:hAnsi="宋体"/>
                <w:color w:val="auto"/>
                <w:szCs w:val="21"/>
                <w:highlight w:val="none"/>
              </w:rPr>
            </w:pPr>
            <w:r>
              <w:rPr>
                <w:rFonts w:ascii="宋体" w:hAnsi="宋体"/>
                <w:color w:val="auto"/>
                <w:szCs w:val="21"/>
                <w:highlight w:val="none"/>
              </w:rPr>
              <w:t>（</w:t>
            </w:r>
            <w:r>
              <w:rPr>
                <w:rFonts w:hint="eastAsia" w:ascii="宋体" w:hAnsi="宋体"/>
                <w:color w:val="auto"/>
                <w:szCs w:val="21"/>
                <w:highlight w:val="none"/>
              </w:rPr>
              <w:t>1</w:t>
            </w:r>
            <w:r>
              <w:rPr>
                <w:rFonts w:ascii="宋体" w:hAnsi="宋体"/>
                <w:color w:val="auto"/>
                <w:szCs w:val="21"/>
                <w:highlight w:val="none"/>
              </w:rPr>
              <w:t>）</w:t>
            </w:r>
            <w:r>
              <w:rPr>
                <w:rFonts w:hint="eastAsia" w:ascii="宋体" w:hAnsi="宋体"/>
                <w:color w:val="auto"/>
                <w:szCs w:val="21"/>
                <w:highlight w:val="none"/>
              </w:rPr>
              <w:t>竞选</w:t>
            </w:r>
            <w:r>
              <w:rPr>
                <w:rFonts w:ascii="宋体" w:hAnsi="宋体"/>
                <w:color w:val="auto"/>
                <w:szCs w:val="21"/>
                <w:highlight w:val="none"/>
              </w:rPr>
              <w:t>函部分的装订要求</w:t>
            </w:r>
          </w:p>
          <w:p w14:paraId="01642252">
            <w:pPr>
              <w:adjustRightInd w:val="0"/>
              <w:snapToGrid w:val="0"/>
              <w:spacing w:line="400" w:lineRule="exact"/>
              <w:ind w:firstLine="420" w:firstLineChars="200"/>
              <w:rPr>
                <w:rFonts w:ascii="宋体" w:hAnsi="宋体"/>
                <w:color w:val="auto"/>
                <w:szCs w:val="21"/>
                <w:highlight w:val="none"/>
              </w:rPr>
            </w:pPr>
            <w:r>
              <w:rPr>
                <w:rFonts w:ascii="宋体" w:hAnsi="宋体"/>
                <w:color w:val="auto"/>
                <w:szCs w:val="21"/>
                <w:highlight w:val="none"/>
              </w:rPr>
              <w:t>应按照第</w:t>
            </w:r>
            <w:r>
              <w:rPr>
                <w:rFonts w:hint="eastAsia" w:ascii="宋体" w:hAnsi="宋体"/>
                <w:color w:val="auto"/>
                <w:szCs w:val="21"/>
                <w:highlight w:val="none"/>
              </w:rPr>
              <w:t>七</w:t>
            </w:r>
            <w:r>
              <w:rPr>
                <w:rFonts w:ascii="宋体" w:hAnsi="宋体"/>
                <w:color w:val="auto"/>
                <w:szCs w:val="21"/>
                <w:highlight w:val="none"/>
              </w:rPr>
              <w:t>章规定格式装订成册，并应编制目录，标注页码。</w:t>
            </w:r>
          </w:p>
          <w:p w14:paraId="21EA15B4">
            <w:pPr>
              <w:adjustRightInd w:val="0"/>
              <w:snapToGrid w:val="0"/>
              <w:spacing w:line="400" w:lineRule="exact"/>
              <w:ind w:firstLine="420" w:firstLineChars="200"/>
              <w:rPr>
                <w:rFonts w:ascii="宋体" w:hAnsi="宋体"/>
                <w:color w:val="auto"/>
                <w:kern w:val="0"/>
                <w:szCs w:val="21"/>
                <w:highlight w:val="none"/>
              </w:rPr>
            </w:pPr>
            <w:r>
              <w:rPr>
                <w:rFonts w:ascii="宋体" w:hAnsi="宋体"/>
                <w:color w:val="auto"/>
                <w:szCs w:val="21"/>
                <w:highlight w:val="none"/>
              </w:rPr>
              <w:t>（</w:t>
            </w:r>
            <w:r>
              <w:rPr>
                <w:rFonts w:hint="eastAsia" w:ascii="宋体" w:hAnsi="宋体"/>
                <w:color w:val="auto"/>
                <w:szCs w:val="21"/>
                <w:highlight w:val="none"/>
              </w:rPr>
              <w:t>2</w:t>
            </w:r>
            <w:r>
              <w:rPr>
                <w:rFonts w:ascii="宋体" w:hAnsi="宋体"/>
                <w:color w:val="auto"/>
                <w:szCs w:val="21"/>
                <w:highlight w:val="none"/>
              </w:rPr>
              <w:t>）</w:t>
            </w:r>
            <w:r>
              <w:rPr>
                <w:rFonts w:hint="eastAsia" w:ascii="宋体" w:hAnsi="宋体"/>
                <w:color w:val="auto"/>
                <w:kern w:val="0"/>
                <w:szCs w:val="21"/>
                <w:highlight w:val="none"/>
              </w:rPr>
              <w:t>资格审查部分</w:t>
            </w:r>
            <w:r>
              <w:rPr>
                <w:rFonts w:ascii="宋体" w:hAnsi="宋体"/>
                <w:color w:val="auto"/>
                <w:kern w:val="0"/>
                <w:szCs w:val="21"/>
                <w:highlight w:val="none"/>
              </w:rPr>
              <w:t>的装订要求</w:t>
            </w:r>
          </w:p>
          <w:p w14:paraId="24371589">
            <w:pPr>
              <w:adjustRightInd w:val="0"/>
              <w:snapToGrid w:val="0"/>
              <w:spacing w:line="400" w:lineRule="exact"/>
              <w:ind w:firstLine="420" w:firstLineChars="200"/>
              <w:rPr>
                <w:rFonts w:hint="eastAsia" w:ascii="宋体" w:hAnsi="宋体"/>
                <w:color w:val="auto"/>
                <w:szCs w:val="21"/>
                <w:highlight w:val="none"/>
              </w:rPr>
            </w:pPr>
            <w:r>
              <w:rPr>
                <w:rFonts w:ascii="宋体" w:hAnsi="宋体"/>
                <w:color w:val="auto"/>
                <w:szCs w:val="21"/>
                <w:highlight w:val="none"/>
              </w:rPr>
              <w:t>应按照第</w:t>
            </w:r>
            <w:r>
              <w:rPr>
                <w:rFonts w:hint="eastAsia" w:ascii="宋体" w:hAnsi="宋体"/>
                <w:color w:val="auto"/>
                <w:szCs w:val="21"/>
                <w:highlight w:val="none"/>
              </w:rPr>
              <w:t>七</w:t>
            </w:r>
            <w:r>
              <w:rPr>
                <w:rFonts w:ascii="宋体" w:hAnsi="宋体"/>
                <w:color w:val="auto"/>
                <w:szCs w:val="21"/>
                <w:highlight w:val="none"/>
              </w:rPr>
              <w:t>章规定格式装订成册，并应编制目录，标注页</w:t>
            </w:r>
            <w:r>
              <w:rPr>
                <w:rFonts w:ascii="宋体" w:hAnsi="宋体"/>
                <w:color w:val="auto"/>
                <w:kern w:val="0"/>
                <w:szCs w:val="21"/>
                <w:highlight w:val="none"/>
              </w:rPr>
              <w:t>码。</w:t>
            </w:r>
          </w:p>
        </w:tc>
      </w:tr>
      <w:tr w14:paraId="76EC72A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838" w:hRule="atLeast"/>
          <w:jc w:val="center"/>
        </w:trPr>
        <w:tc>
          <w:tcPr>
            <w:tcW w:w="1221" w:type="dxa"/>
            <w:vAlign w:val="center"/>
          </w:tcPr>
          <w:p w14:paraId="6F85E008">
            <w:pPr>
              <w:snapToGrid w:val="0"/>
              <w:spacing w:line="400" w:lineRule="exact"/>
              <w:jc w:val="center"/>
              <w:rPr>
                <w:rFonts w:ascii="宋体" w:hAnsi="宋体"/>
                <w:color w:val="auto"/>
                <w:kern w:val="0"/>
                <w:szCs w:val="21"/>
                <w:highlight w:val="none"/>
              </w:rPr>
            </w:pPr>
            <w:r>
              <w:rPr>
                <w:rFonts w:ascii="宋体" w:hAnsi="宋体"/>
                <w:color w:val="auto"/>
                <w:kern w:val="0"/>
                <w:szCs w:val="21"/>
                <w:highlight w:val="none"/>
              </w:rPr>
              <w:t>4.1.1</w:t>
            </w:r>
          </w:p>
        </w:tc>
        <w:tc>
          <w:tcPr>
            <w:tcW w:w="1610" w:type="dxa"/>
            <w:vAlign w:val="center"/>
          </w:tcPr>
          <w:p w14:paraId="10FC9F53">
            <w:pPr>
              <w:snapToGrid w:val="0"/>
              <w:spacing w:line="400" w:lineRule="exact"/>
              <w:jc w:val="center"/>
              <w:rPr>
                <w:rFonts w:ascii="宋体" w:hAnsi="宋体"/>
                <w:color w:val="auto"/>
                <w:spacing w:val="-6"/>
                <w:kern w:val="0"/>
                <w:szCs w:val="21"/>
                <w:highlight w:val="none"/>
              </w:rPr>
            </w:pPr>
            <w:r>
              <w:rPr>
                <w:rFonts w:hint="eastAsia" w:ascii="宋体" w:hAnsi="宋体"/>
                <w:color w:val="auto"/>
                <w:spacing w:val="-6"/>
                <w:kern w:val="0"/>
                <w:szCs w:val="21"/>
                <w:highlight w:val="none"/>
              </w:rPr>
              <w:t>竞选</w:t>
            </w:r>
            <w:r>
              <w:rPr>
                <w:rFonts w:ascii="宋体" w:hAnsi="宋体"/>
                <w:color w:val="auto"/>
                <w:spacing w:val="-6"/>
                <w:kern w:val="0"/>
                <w:szCs w:val="21"/>
                <w:highlight w:val="none"/>
              </w:rPr>
              <w:t>文件的密封</w:t>
            </w:r>
          </w:p>
        </w:tc>
        <w:tc>
          <w:tcPr>
            <w:tcW w:w="6737" w:type="dxa"/>
            <w:vAlign w:val="center"/>
          </w:tcPr>
          <w:p w14:paraId="2EDAAB3B">
            <w:pPr>
              <w:tabs>
                <w:tab w:val="left" w:pos="1680"/>
              </w:tabs>
              <w:spacing w:line="400" w:lineRule="exact"/>
              <w:ind w:firstLine="420" w:firstLineChars="200"/>
              <w:rPr>
                <w:rFonts w:ascii="宋体" w:hAnsi="宋体" w:cs="宋体"/>
                <w:color w:val="auto"/>
                <w:szCs w:val="21"/>
                <w:highlight w:val="none"/>
              </w:rPr>
            </w:pPr>
            <w:r>
              <w:rPr>
                <w:rFonts w:hint="eastAsia" w:ascii="宋体" w:hAnsi="宋体" w:cs="宋体"/>
                <w:color w:val="auto"/>
                <w:szCs w:val="21"/>
                <w:highlight w:val="none"/>
              </w:rPr>
              <w:t>1.竞选文件袋使用竞选人自备的竞选文件袋。</w:t>
            </w:r>
          </w:p>
          <w:p w14:paraId="0B515EE1">
            <w:pPr>
              <w:tabs>
                <w:tab w:val="left" w:pos="1680"/>
              </w:tabs>
              <w:spacing w:line="400" w:lineRule="exact"/>
              <w:ind w:firstLine="404" w:firstLineChars="200"/>
              <w:rPr>
                <w:rFonts w:ascii="宋体" w:hAnsi="宋体"/>
                <w:color w:val="auto"/>
                <w:szCs w:val="21"/>
                <w:highlight w:val="none"/>
              </w:rPr>
            </w:pPr>
            <w:r>
              <w:rPr>
                <w:rFonts w:hint="eastAsia" w:ascii="宋体" w:hAnsi="宋体" w:cs="宋体"/>
                <w:color w:val="auto"/>
                <w:spacing w:val="-4"/>
                <w:szCs w:val="21"/>
                <w:highlight w:val="none"/>
              </w:rPr>
              <w:t>2.竞选文件装入“竞选文件”袋中，密封并在封口处加盖</w:t>
            </w:r>
            <w:r>
              <w:rPr>
                <w:rFonts w:hint="eastAsia" w:ascii="宋体" w:hAnsi="宋体" w:cs="宋体"/>
                <w:color w:val="auto"/>
                <w:szCs w:val="21"/>
                <w:highlight w:val="none"/>
              </w:rPr>
              <w:t>竞选人</w:t>
            </w:r>
            <w:r>
              <w:rPr>
                <w:rFonts w:hint="eastAsia" w:ascii="宋体" w:hAnsi="宋体" w:cs="宋体"/>
                <w:color w:val="auto"/>
                <w:spacing w:val="-4"/>
                <w:szCs w:val="21"/>
                <w:highlight w:val="none"/>
              </w:rPr>
              <w:t>公章。封面按第</w:t>
            </w:r>
            <w:r>
              <w:rPr>
                <w:rFonts w:hint="eastAsia" w:ascii="宋体" w:hAnsi="宋体" w:cs="宋体"/>
                <w:color w:val="auto"/>
                <w:szCs w:val="21"/>
                <w:highlight w:val="none"/>
              </w:rPr>
              <w:t>七</w:t>
            </w:r>
            <w:r>
              <w:rPr>
                <w:rFonts w:hint="eastAsia" w:ascii="宋体" w:hAnsi="宋体" w:cs="宋体"/>
                <w:color w:val="auto"/>
                <w:spacing w:val="-4"/>
                <w:szCs w:val="21"/>
                <w:highlight w:val="none"/>
              </w:rPr>
              <w:t>章的竞选文件格式中的封面格式贴在“竞选文件”袋上并按要求签字或盖章。</w:t>
            </w:r>
          </w:p>
        </w:tc>
      </w:tr>
      <w:tr w14:paraId="070F45F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258" w:hRule="atLeast"/>
          <w:jc w:val="center"/>
        </w:trPr>
        <w:tc>
          <w:tcPr>
            <w:tcW w:w="1221" w:type="dxa"/>
            <w:vAlign w:val="center"/>
          </w:tcPr>
          <w:p w14:paraId="602CE3F3">
            <w:pPr>
              <w:snapToGrid w:val="0"/>
              <w:spacing w:line="400" w:lineRule="exact"/>
              <w:jc w:val="center"/>
              <w:rPr>
                <w:rFonts w:ascii="宋体" w:hAnsi="宋体"/>
                <w:color w:val="auto"/>
                <w:kern w:val="0"/>
                <w:szCs w:val="21"/>
                <w:highlight w:val="none"/>
              </w:rPr>
            </w:pPr>
            <w:r>
              <w:rPr>
                <w:rFonts w:ascii="宋体" w:hAnsi="宋体"/>
                <w:color w:val="auto"/>
                <w:kern w:val="0"/>
                <w:szCs w:val="21"/>
                <w:highlight w:val="none"/>
              </w:rPr>
              <w:t>4.1.2</w:t>
            </w:r>
          </w:p>
        </w:tc>
        <w:tc>
          <w:tcPr>
            <w:tcW w:w="1610" w:type="dxa"/>
            <w:vAlign w:val="center"/>
          </w:tcPr>
          <w:p w14:paraId="2CEE791C">
            <w:pPr>
              <w:snapToGrid w:val="0"/>
              <w:spacing w:line="400" w:lineRule="exact"/>
              <w:jc w:val="center"/>
              <w:rPr>
                <w:rFonts w:ascii="宋体" w:hAnsi="宋体"/>
                <w:color w:val="auto"/>
                <w:kern w:val="0"/>
                <w:szCs w:val="21"/>
                <w:highlight w:val="none"/>
              </w:rPr>
            </w:pPr>
            <w:r>
              <w:rPr>
                <w:rFonts w:ascii="宋体" w:hAnsi="宋体"/>
                <w:color w:val="auto"/>
                <w:kern w:val="0"/>
                <w:szCs w:val="21"/>
                <w:highlight w:val="none"/>
              </w:rPr>
              <w:t>封套上写明</w:t>
            </w:r>
          </w:p>
        </w:tc>
        <w:tc>
          <w:tcPr>
            <w:tcW w:w="6737" w:type="dxa"/>
            <w:vAlign w:val="center"/>
          </w:tcPr>
          <w:p w14:paraId="6D32919C">
            <w:pPr>
              <w:snapToGrid w:val="0"/>
              <w:spacing w:line="400" w:lineRule="exact"/>
              <w:ind w:firstLine="420" w:firstLineChars="200"/>
              <w:rPr>
                <w:rStyle w:val="219"/>
                <w:rFonts w:ascii="宋体" w:hAnsi="宋体"/>
                <w:color w:val="auto"/>
                <w:kern w:val="0"/>
                <w:szCs w:val="21"/>
                <w:highlight w:val="none"/>
              </w:rPr>
            </w:pPr>
            <w:r>
              <w:rPr>
                <w:rStyle w:val="219"/>
                <w:rFonts w:ascii="宋体" w:hAnsi="宋体"/>
                <w:color w:val="auto"/>
                <w:kern w:val="0"/>
                <w:szCs w:val="21"/>
                <w:highlight w:val="none"/>
              </w:rPr>
              <w:t>应在“</w:t>
            </w:r>
            <w:r>
              <w:rPr>
                <w:rStyle w:val="219"/>
                <w:rFonts w:hint="eastAsia" w:ascii="宋体" w:hAnsi="宋体"/>
                <w:color w:val="auto"/>
                <w:kern w:val="0"/>
                <w:szCs w:val="21"/>
                <w:highlight w:val="none"/>
              </w:rPr>
              <w:t>竞选</w:t>
            </w:r>
            <w:r>
              <w:rPr>
                <w:rStyle w:val="219"/>
                <w:rFonts w:ascii="宋体" w:hAnsi="宋体"/>
                <w:color w:val="auto"/>
                <w:kern w:val="0"/>
                <w:szCs w:val="21"/>
                <w:highlight w:val="none"/>
              </w:rPr>
              <w:t>文件”大袋和“资格审查部分”封套上写明如下内容：</w:t>
            </w:r>
          </w:p>
          <w:p w14:paraId="39A9F2B2">
            <w:pPr>
              <w:snapToGrid w:val="0"/>
              <w:spacing w:line="400" w:lineRule="exact"/>
              <w:ind w:firstLine="420" w:firstLineChars="200"/>
              <w:rPr>
                <w:rStyle w:val="219"/>
                <w:rFonts w:ascii="宋体" w:hAnsi="宋体"/>
                <w:color w:val="auto"/>
                <w:kern w:val="0"/>
                <w:szCs w:val="21"/>
                <w:highlight w:val="none"/>
                <w:u w:val="single"/>
              </w:rPr>
            </w:pPr>
            <w:r>
              <w:rPr>
                <w:rStyle w:val="219"/>
                <w:rFonts w:hint="eastAsia" w:ascii="宋体" w:hAnsi="宋体"/>
                <w:color w:val="auto"/>
                <w:kern w:val="0"/>
                <w:szCs w:val="21"/>
                <w:highlight w:val="none"/>
              </w:rPr>
              <w:t>比选人</w:t>
            </w:r>
            <w:r>
              <w:rPr>
                <w:rStyle w:val="219"/>
                <w:rFonts w:ascii="宋体" w:hAnsi="宋体"/>
                <w:color w:val="auto"/>
                <w:kern w:val="0"/>
                <w:szCs w:val="21"/>
                <w:highlight w:val="none"/>
              </w:rPr>
              <w:t>名称：</w:t>
            </w:r>
          </w:p>
          <w:p w14:paraId="7421A0F1">
            <w:pPr>
              <w:snapToGrid w:val="0"/>
              <w:spacing w:line="400" w:lineRule="exact"/>
              <w:ind w:firstLine="420" w:firstLineChars="200"/>
              <w:rPr>
                <w:rStyle w:val="219"/>
                <w:rFonts w:ascii="宋体" w:hAnsi="宋体"/>
                <w:color w:val="auto"/>
                <w:kern w:val="0"/>
                <w:szCs w:val="21"/>
                <w:highlight w:val="none"/>
              </w:rPr>
            </w:pPr>
            <w:r>
              <w:rPr>
                <w:rStyle w:val="219"/>
                <w:rFonts w:hint="eastAsia" w:ascii="宋体" w:hAnsi="宋体"/>
                <w:color w:val="auto"/>
                <w:kern w:val="0"/>
                <w:szCs w:val="21"/>
                <w:highlight w:val="none"/>
              </w:rPr>
              <w:t>竞选</w:t>
            </w:r>
            <w:r>
              <w:rPr>
                <w:rStyle w:val="219"/>
                <w:rFonts w:ascii="宋体" w:hAnsi="宋体"/>
                <w:color w:val="auto"/>
                <w:kern w:val="0"/>
                <w:szCs w:val="21"/>
                <w:highlight w:val="none"/>
              </w:rPr>
              <w:t>人名称：</w:t>
            </w:r>
          </w:p>
          <w:p w14:paraId="7FA93970">
            <w:pPr>
              <w:snapToGrid w:val="0"/>
              <w:spacing w:line="360" w:lineRule="auto"/>
              <w:ind w:firstLine="420" w:firstLineChars="200"/>
              <w:jc w:val="left"/>
              <w:rPr>
                <w:rStyle w:val="219"/>
                <w:rFonts w:ascii="宋体" w:hAnsi="宋体"/>
                <w:color w:val="auto"/>
                <w:kern w:val="0"/>
                <w:szCs w:val="21"/>
                <w:highlight w:val="none"/>
              </w:rPr>
            </w:pPr>
            <w:r>
              <w:rPr>
                <w:rStyle w:val="219"/>
                <w:rFonts w:ascii="宋体" w:hAnsi="宋体"/>
                <w:color w:val="auto"/>
                <w:kern w:val="0"/>
                <w:szCs w:val="21"/>
                <w:highlight w:val="none"/>
              </w:rPr>
              <w:t>（项目名称可简写）标段</w:t>
            </w:r>
            <w:r>
              <w:rPr>
                <w:rStyle w:val="219"/>
                <w:rFonts w:hint="eastAsia" w:ascii="宋体" w:hAnsi="宋体"/>
                <w:color w:val="auto"/>
                <w:kern w:val="0"/>
                <w:szCs w:val="21"/>
                <w:highlight w:val="none"/>
              </w:rPr>
              <w:t>竞选</w:t>
            </w:r>
            <w:r>
              <w:rPr>
                <w:rStyle w:val="219"/>
                <w:rFonts w:ascii="宋体" w:hAnsi="宋体"/>
                <w:color w:val="auto"/>
                <w:kern w:val="0"/>
                <w:szCs w:val="21"/>
                <w:highlight w:val="none"/>
              </w:rPr>
              <w:t>文件</w:t>
            </w:r>
          </w:p>
          <w:p w14:paraId="0BE10F02">
            <w:pPr>
              <w:snapToGrid w:val="0"/>
              <w:spacing w:line="400" w:lineRule="exact"/>
              <w:ind w:firstLine="420" w:firstLineChars="200"/>
              <w:rPr>
                <w:rFonts w:ascii="宋体" w:hAnsi="宋体"/>
                <w:color w:val="auto"/>
                <w:szCs w:val="21"/>
                <w:highlight w:val="none"/>
              </w:rPr>
            </w:pPr>
            <w:r>
              <w:rPr>
                <w:rStyle w:val="219"/>
                <w:rFonts w:hint="eastAsia" w:ascii="宋体" w:hAnsi="宋体"/>
                <w:color w:val="auto"/>
                <w:kern w:val="0"/>
                <w:szCs w:val="21"/>
                <w:highlight w:val="none"/>
              </w:rPr>
              <w:t>在</w:t>
            </w:r>
            <w:r>
              <w:rPr>
                <w:rStyle w:val="219"/>
                <w:rFonts w:hint="eastAsia" w:ascii="宋体" w:hAnsi="宋体"/>
                <w:color w:val="auto"/>
                <w:kern w:val="0"/>
                <w:szCs w:val="21"/>
                <w:highlight w:val="none"/>
                <w:u w:val="single"/>
              </w:rPr>
              <w:t xml:space="preserve"> </w:t>
            </w:r>
            <w:r>
              <w:rPr>
                <w:rStyle w:val="219"/>
                <w:rFonts w:hint="eastAsia" w:ascii="宋体" w:hAnsi="宋体"/>
                <w:color w:val="auto"/>
                <w:kern w:val="0"/>
                <w:szCs w:val="21"/>
                <w:highlight w:val="none"/>
                <w:u w:val="single"/>
                <w:lang w:val="en-US" w:eastAsia="zh-CN"/>
              </w:rPr>
              <w:t>2025</w:t>
            </w:r>
            <w:r>
              <w:rPr>
                <w:rStyle w:val="219"/>
                <w:rFonts w:hint="eastAsia" w:ascii="宋体" w:hAnsi="宋体"/>
                <w:color w:val="auto"/>
                <w:kern w:val="0"/>
                <w:szCs w:val="21"/>
                <w:highlight w:val="none"/>
                <w:u w:val="single"/>
              </w:rPr>
              <w:t xml:space="preserve"> </w:t>
            </w:r>
            <w:r>
              <w:rPr>
                <w:rStyle w:val="219"/>
                <w:rFonts w:hint="eastAsia" w:ascii="宋体" w:hAnsi="宋体"/>
                <w:color w:val="auto"/>
                <w:kern w:val="0"/>
                <w:szCs w:val="21"/>
                <w:highlight w:val="none"/>
              </w:rPr>
              <w:t>年</w:t>
            </w:r>
            <w:r>
              <w:rPr>
                <w:rStyle w:val="219"/>
                <w:rFonts w:hint="eastAsia" w:ascii="宋体" w:hAnsi="宋体"/>
                <w:color w:val="auto"/>
                <w:kern w:val="0"/>
                <w:szCs w:val="21"/>
                <w:highlight w:val="none"/>
                <w:u w:val="single"/>
              </w:rPr>
              <w:t xml:space="preserve"> </w:t>
            </w:r>
            <w:r>
              <w:rPr>
                <w:rStyle w:val="219"/>
                <w:rFonts w:hint="eastAsia" w:ascii="宋体" w:hAnsi="宋体"/>
                <w:color w:val="auto"/>
                <w:kern w:val="0"/>
                <w:szCs w:val="21"/>
                <w:highlight w:val="none"/>
                <w:u w:val="single"/>
                <w:lang w:val="en-US" w:eastAsia="zh-CN"/>
              </w:rPr>
              <w:t>12</w:t>
            </w:r>
            <w:r>
              <w:rPr>
                <w:rStyle w:val="219"/>
                <w:rFonts w:hint="eastAsia" w:ascii="宋体" w:hAnsi="宋体"/>
                <w:color w:val="auto"/>
                <w:kern w:val="0"/>
                <w:szCs w:val="21"/>
                <w:highlight w:val="none"/>
              </w:rPr>
              <w:t>月</w:t>
            </w:r>
            <w:r>
              <w:rPr>
                <w:rStyle w:val="219"/>
                <w:rFonts w:hint="eastAsia" w:ascii="宋体" w:hAnsi="宋体"/>
                <w:color w:val="auto"/>
                <w:kern w:val="0"/>
                <w:szCs w:val="21"/>
                <w:highlight w:val="none"/>
                <w:u w:val="single"/>
              </w:rPr>
              <w:t xml:space="preserve"> </w:t>
            </w:r>
            <w:r>
              <w:rPr>
                <w:rStyle w:val="219"/>
                <w:rFonts w:hint="eastAsia" w:ascii="宋体" w:hAnsi="宋体"/>
                <w:color w:val="auto"/>
                <w:kern w:val="0"/>
                <w:szCs w:val="21"/>
                <w:highlight w:val="none"/>
                <w:u w:val="single"/>
                <w:lang w:val="en-US" w:eastAsia="zh-CN"/>
              </w:rPr>
              <w:t>17</w:t>
            </w:r>
            <w:r>
              <w:rPr>
                <w:rStyle w:val="219"/>
                <w:rFonts w:hint="eastAsia" w:ascii="宋体" w:hAnsi="宋体"/>
                <w:color w:val="auto"/>
                <w:kern w:val="0"/>
                <w:szCs w:val="21"/>
                <w:highlight w:val="none"/>
              </w:rPr>
              <w:t>日</w:t>
            </w:r>
            <w:r>
              <w:rPr>
                <w:rStyle w:val="219"/>
                <w:rFonts w:hint="eastAsia" w:ascii="宋体" w:hAnsi="宋体"/>
                <w:color w:val="auto"/>
                <w:kern w:val="0"/>
                <w:szCs w:val="21"/>
                <w:highlight w:val="none"/>
                <w:u w:val="single"/>
              </w:rPr>
              <w:t xml:space="preserve"> </w:t>
            </w:r>
            <w:r>
              <w:rPr>
                <w:rStyle w:val="219"/>
                <w:rFonts w:hint="eastAsia" w:ascii="宋体" w:hAnsi="宋体"/>
                <w:color w:val="auto"/>
                <w:kern w:val="0"/>
                <w:szCs w:val="21"/>
                <w:highlight w:val="none"/>
                <w:u w:val="single"/>
                <w:lang w:val="en-US" w:eastAsia="zh-CN"/>
              </w:rPr>
              <w:t>09</w:t>
            </w:r>
            <w:r>
              <w:rPr>
                <w:rStyle w:val="219"/>
                <w:rFonts w:hint="eastAsia" w:ascii="宋体" w:hAnsi="宋体"/>
                <w:color w:val="auto"/>
                <w:kern w:val="0"/>
                <w:szCs w:val="21"/>
                <w:highlight w:val="none"/>
                <w:u w:val="single"/>
              </w:rPr>
              <w:t xml:space="preserve">  </w:t>
            </w:r>
            <w:r>
              <w:rPr>
                <w:rStyle w:val="219"/>
                <w:rFonts w:hint="eastAsia" w:ascii="宋体" w:hAnsi="宋体"/>
                <w:color w:val="auto"/>
                <w:kern w:val="0"/>
                <w:szCs w:val="21"/>
                <w:highlight w:val="none"/>
              </w:rPr>
              <w:t>时</w:t>
            </w:r>
            <w:r>
              <w:rPr>
                <w:rStyle w:val="219"/>
                <w:rFonts w:hint="eastAsia" w:ascii="宋体" w:hAnsi="宋体"/>
                <w:color w:val="auto"/>
                <w:kern w:val="0"/>
                <w:szCs w:val="21"/>
                <w:highlight w:val="none"/>
                <w:u w:val="single"/>
              </w:rPr>
              <w:t xml:space="preserve"> </w:t>
            </w:r>
            <w:r>
              <w:rPr>
                <w:rStyle w:val="219"/>
                <w:rFonts w:hint="eastAsia" w:ascii="宋体" w:hAnsi="宋体"/>
                <w:color w:val="auto"/>
                <w:kern w:val="0"/>
                <w:szCs w:val="21"/>
                <w:highlight w:val="none"/>
                <w:u w:val="single"/>
                <w:lang w:val="en-US" w:eastAsia="zh-CN"/>
              </w:rPr>
              <w:t>30</w:t>
            </w:r>
            <w:r>
              <w:rPr>
                <w:rStyle w:val="219"/>
                <w:rFonts w:hint="eastAsia" w:ascii="宋体" w:hAnsi="宋体"/>
                <w:color w:val="auto"/>
                <w:kern w:val="0"/>
                <w:szCs w:val="21"/>
                <w:highlight w:val="none"/>
                <w:u w:val="single"/>
              </w:rPr>
              <w:t xml:space="preserve"> </w:t>
            </w:r>
            <w:r>
              <w:rPr>
                <w:rStyle w:val="219"/>
                <w:rFonts w:hint="eastAsia" w:ascii="宋体" w:hAnsi="宋体"/>
                <w:color w:val="auto"/>
                <w:kern w:val="0"/>
                <w:szCs w:val="21"/>
                <w:highlight w:val="none"/>
              </w:rPr>
              <w:t>分前不得开启</w:t>
            </w:r>
          </w:p>
        </w:tc>
      </w:tr>
      <w:tr w14:paraId="45FC73A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21" w:hRule="atLeast"/>
          <w:jc w:val="center"/>
        </w:trPr>
        <w:tc>
          <w:tcPr>
            <w:tcW w:w="1221" w:type="dxa"/>
            <w:vAlign w:val="center"/>
          </w:tcPr>
          <w:p w14:paraId="4ABE3628">
            <w:pPr>
              <w:snapToGrid w:val="0"/>
              <w:spacing w:line="400" w:lineRule="exact"/>
              <w:jc w:val="center"/>
              <w:rPr>
                <w:rFonts w:ascii="宋体" w:hAnsi="宋体"/>
                <w:color w:val="auto"/>
                <w:kern w:val="0"/>
                <w:szCs w:val="21"/>
                <w:highlight w:val="none"/>
              </w:rPr>
            </w:pPr>
            <w:r>
              <w:rPr>
                <w:rFonts w:ascii="宋体" w:hAnsi="宋体"/>
                <w:color w:val="auto"/>
                <w:kern w:val="0"/>
                <w:szCs w:val="21"/>
                <w:highlight w:val="none"/>
              </w:rPr>
              <w:t>4.2.2</w:t>
            </w:r>
          </w:p>
        </w:tc>
        <w:tc>
          <w:tcPr>
            <w:tcW w:w="1610" w:type="dxa"/>
            <w:vAlign w:val="center"/>
          </w:tcPr>
          <w:p w14:paraId="59CFD7F2">
            <w:pPr>
              <w:snapToGrid w:val="0"/>
              <w:spacing w:line="400" w:lineRule="exact"/>
              <w:jc w:val="center"/>
              <w:rPr>
                <w:rFonts w:ascii="宋体" w:hAnsi="宋体"/>
                <w:color w:val="auto"/>
                <w:kern w:val="0"/>
                <w:szCs w:val="21"/>
                <w:highlight w:val="none"/>
              </w:rPr>
            </w:pPr>
            <w:r>
              <w:rPr>
                <w:rFonts w:ascii="宋体" w:hAnsi="宋体"/>
                <w:color w:val="auto"/>
                <w:kern w:val="0"/>
                <w:szCs w:val="21"/>
                <w:highlight w:val="none"/>
              </w:rPr>
              <w:t>递交</w:t>
            </w:r>
            <w:r>
              <w:rPr>
                <w:rFonts w:hint="eastAsia" w:ascii="宋体" w:hAnsi="宋体"/>
                <w:color w:val="auto"/>
                <w:kern w:val="0"/>
                <w:szCs w:val="21"/>
                <w:highlight w:val="none"/>
              </w:rPr>
              <w:t>竞选</w:t>
            </w:r>
            <w:r>
              <w:rPr>
                <w:rFonts w:ascii="宋体" w:hAnsi="宋体"/>
                <w:color w:val="auto"/>
                <w:kern w:val="0"/>
                <w:szCs w:val="21"/>
                <w:highlight w:val="none"/>
              </w:rPr>
              <w:t>文件地点</w:t>
            </w:r>
          </w:p>
        </w:tc>
        <w:tc>
          <w:tcPr>
            <w:tcW w:w="6737" w:type="dxa"/>
            <w:vAlign w:val="center"/>
          </w:tcPr>
          <w:p w14:paraId="7713A3E3">
            <w:pPr>
              <w:spacing w:line="400" w:lineRule="exact"/>
              <w:rPr>
                <w:rFonts w:hint="default" w:ascii="宋体" w:hAnsi="宋体" w:cs="宋体"/>
                <w:b/>
                <w:color w:val="auto"/>
                <w:szCs w:val="21"/>
                <w:highlight w:val="none"/>
                <w:lang w:val="en-US"/>
              </w:rPr>
            </w:pPr>
            <w:r>
              <w:rPr>
                <w:rFonts w:hint="eastAsia" w:ascii="宋体" w:hAnsi="宋体" w:cs="宋体"/>
                <w:b/>
                <w:color w:val="auto"/>
                <w:szCs w:val="21"/>
                <w:highlight w:val="none"/>
              </w:rPr>
              <w:t>地点：</w:t>
            </w:r>
            <w:r>
              <w:rPr>
                <w:rFonts w:hint="eastAsia" w:ascii="宋体" w:hAnsi="宋体" w:cs="宋体"/>
                <w:b/>
                <w:color w:val="auto"/>
                <w:szCs w:val="21"/>
                <w:highlight w:val="none"/>
                <w:lang w:val="en-US" w:eastAsia="zh-CN"/>
              </w:rPr>
              <w:t>重庆市医药卫生学校附属医院108会议室</w:t>
            </w:r>
          </w:p>
          <w:p w14:paraId="51259FFD">
            <w:pPr>
              <w:spacing w:line="400" w:lineRule="exact"/>
              <w:jc w:val="left"/>
              <w:rPr>
                <w:rFonts w:hint="default" w:ascii="宋体" w:hAnsi="宋体" w:eastAsia="宋体" w:cs="宋体"/>
                <w:b/>
                <w:color w:val="auto"/>
                <w:szCs w:val="21"/>
                <w:highlight w:val="none"/>
                <w:lang w:val="en-US" w:eastAsia="zh-CN"/>
              </w:rPr>
            </w:pPr>
            <w:r>
              <w:rPr>
                <w:rFonts w:hint="eastAsia" w:ascii="宋体" w:hAnsi="宋体" w:cs="宋体"/>
                <w:b/>
                <w:color w:val="auto"/>
                <w:szCs w:val="21"/>
                <w:highlight w:val="none"/>
              </w:rPr>
              <w:t>地址：</w:t>
            </w:r>
            <w:r>
              <w:rPr>
                <w:rFonts w:hint="eastAsia" w:ascii="宋体" w:hAnsi="宋体" w:cs="宋体"/>
                <w:b/>
                <w:color w:val="auto"/>
                <w:szCs w:val="21"/>
                <w:highlight w:val="yellow"/>
              </w:rPr>
              <w:t>重庆市涪陵区</w:t>
            </w:r>
            <w:r>
              <w:rPr>
                <w:rFonts w:hint="eastAsia" w:ascii="宋体" w:hAnsi="宋体" w:cs="宋体"/>
                <w:b/>
                <w:color w:val="auto"/>
                <w:szCs w:val="21"/>
                <w:highlight w:val="yellow"/>
                <w:lang w:val="en-US" w:eastAsia="zh-CN"/>
              </w:rPr>
              <w:t>太白大道19号</w:t>
            </w:r>
          </w:p>
          <w:p w14:paraId="0DC7B0DC">
            <w:pPr>
              <w:snapToGrid w:val="0"/>
              <w:spacing w:line="400" w:lineRule="exact"/>
              <w:rPr>
                <w:rFonts w:ascii="宋体" w:hAnsi="宋体"/>
                <w:bCs/>
                <w:i/>
                <w:color w:val="auto"/>
                <w:szCs w:val="21"/>
                <w:highlight w:val="none"/>
              </w:rPr>
            </w:pPr>
            <w:r>
              <w:rPr>
                <w:rFonts w:hint="eastAsia" w:ascii="宋体" w:hAnsi="宋体" w:cs="宋体"/>
                <w:b/>
                <w:color w:val="auto"/>
                <w:spacing w:val="-4"/>
                <w:szCs w:val="21"/>
                <w:highlight w:val="none"/>
              </w:rPr>
              <w:t>时间:</w:t>
            </w:r>
            <w:r>
              <w:rPr>
                <w:rFonts w:hint="eastAsia" w:ascii="宋体" w:hAnsi="宋体" w:cs="宋体"/>
                <w:b/>
                <w:color w:val="auto"/>
                <w:spacing w:val="-4"/>
                <w:szCs w:val="21"/>
                <w:highlight w:val="none"/>
                <w:u w:val="single"/>
              </w:rPr>
              <w:t xml:space="preserve"> </w:t>
            </w:r>
            <w:r>
              <w:rPr>
                <w:rFonts w:hint="eastAsia" w:ascii="宋体" w:hAnsi="宋体" w:cs="宋体"/>
                <w:b/>
                <w:color w:val="auto"/>
                <w:spacing w:val="-4"/>
                <w:szCs w:val="21"/>
                <w:highlight w:val="none"/>
                <w:u w:val="single"/>
                <w:lang w:eastAsia="zh-CN"/>
              </w:rPr>
              <w:t>2025年</w:t>
            </w:r>
            <w:r>
              <w:rPr>
                <w:rFonts w:hint="eastAsia" w:ascii="宋体" w:hAnsi="宋体" w:cs="宋体"/>
                <w:b/>
                <w:color w:val="auto"/>
                <w:spacing w:val="-4"/>
                <w:szCs w:val="21"/>
                <w:highlight w:val="none"/>
                <w:u w:val="single"/>
              </w:rPr>
              <w:t xml:space="preserve"> </w:t>
            </w:r>
            <w:r>
              <w:rPr>
                <w:rFonts w:hint="eastAsia" w:ascii="宋体" w:hAnsi="宋体" w:cs="宋体"/>
                <w:b/>
                <w:color w:val="auto"/>
                <w:spacing w:val="-4"/>
                <w:szCs w:val="21"/>
                <w:highlight w:val="none"/>
                <w:u w:val="single"/>
                <w:lang w:val="en-US" w:eastAsia="zh-CN"/>
              </w:rPr>
              <w:t>12</w:t>
            </w:r>
            <w:r>
              <w:rPr>
                <w:rFonts w:hint="eastAsia" w:ascii="宋体" w:hAnsi="宋体" w:cs="宋体"/>
                <w:b/>
                <w:color w:val="auto"/>
                <w:spacing w:val="-4"/>
                <w:szCs w:val="21"/>
                <w:highlight w:val="none"/>
              </w:rPr>
              <w:t>月</w:t>
            </w:r>
            <w:r>
              <w:rPr>
                <w:rFonts w:hint="eastAsia" w:ascii="宋体" w:hAnsi="宋体" w:cs="宋体"/>
                <w:b/>
                <w:color w:val="auto"/>
                <w:spacing w:val="-4"/>
                <w:szCs w:val="21"/>
                <w:highlight w:val="none"/>
                <w:u w:val="single"/>
              </w:rPr>
              <w:t xml:space="preserve"> </w:t>
            </w:r>
            <w:r>
              <w:rPr>
                <w:rFonts w:hint="eastAsia" w:ascii="宋体" w:hAnsi="宋体" w:cs="宋体"/>
                <w:b/>
                <w:color w:val="auto"/>
                <w:spacing w:val="-4"/>
                <w:szCs w:val="21"/>
                <w:highlight w:val="none"/>
                <w:u w:val="single"/>
                <w:lang w:val="en-US" w:eastAsia="zh-CN"/>
              </w:rPr>
              <w:t>17</w:t>
            </w:r>
            <w:r>
              <w:rPr>
                <w:rFonts w:hint="eastAsia" w:ascii="宋体" w:hAnsi="宋体" w:cs="宋体"/>
                <w:b/>
                <w:color w:val="auto"/>
                <w:spacing w:val="-4"/>
                <w:szCs w:val="21"/>
                <w:highlight w:val="none"/>
                <w:u w:val="single"/>
              </w:rPr>
              <w:t xml:space="preserve"> </w:t>
            </w:r>
            <w:r>
              <w:rPr>
                <w:rFonts w:hint="eastAsia" w:ascii="宋体" w:hAnsi="宋体" w:cs="宋体"/>
                <w:b/>
                <w:color w:val="auto"/>
                <w:spacing w:val="-4"/>
                <w:szCs w:val="21"/>
                <w:highlight w:val="none"/>
              </w:rPr>
              <w:t>日</w:t>
            </w:r>
            <w:r>
              <w:rPr>
                <w:rFonts w:hint="eastAsia" w:ascii="宋体" w:hAnsi="宋体" w:cs="宋体"/>
                <w:b/>
                <w:color w:val="auto"/>
                <w:spacing w:val="-4"/>
                <w:szCs w:val="21"/>
                <w:highlight w:val="none"/>
                <w:lang w:val="en-US" w:eastAsia="zh-CN"/>
              </w:rPr>
              <w:t>09</w:t>
            </w:r>
            <w:r>
              <w:rPr>
                <w:rFonts w:hint="eastAsia" w:ascii="宋体" w:hAnsi="宋体" w:cs="宋体"/>
                <w:b/>
                <w:color w:val="auto"/>
                <w:spacing w:val="-4"/>
                <w:szCs w:val="21"/>
                <w:highlight w:val="none"/>
              </w:rPr>
              <w:t>时</w:t>
            </w:r>
            <w:r>
              <w:rPr>
                <w:rFonts w:hint="eastAsia" w:ascii="宋体" w:hAnsi="宋体" w:cs="宋体"/>
                <w:b/>
                <w:color w:val="auto"/>
                <w:spacing w:val="-4"/>
                <w:szCs w:val="21"/>
                <w:highlight w:val="none"/>
                <w:u w:val="single"/>
              </w:rPr>
              <w:t xml:space="preserve"> </w:t>
            </w:r>
            <w:r>
              <w:rPr>
                <w:rFonts w:hint="eastAsia" w:ascii="宋体" w:hAnsi="宋体" w:cs="宋体"/>
                <w:b/>
                <w:color w:val="auto"/>
                <w:spacing w:val="-4"/>
                <w:szCs w:val="21"/>
                <w:highlight w:val="none"/>
                <w:u w:val="single"/>
                <w:lang w:val="en-US" w:eastAsia="zh-CN"/>
              </w:rPr>
              <w:t>00</w:t>
            </w:r>
            <w:r>
              <w:rPr>
                <w:rFonts w:hint="eastAsia" w:ascii="宋体" w:hAnsi="宋体" w:cs="宋体"/>
                <w:b/>
                <w:color w:val="auto"/>
                <w:spacing w:val="-4"/>
                <w:szCs w:val="21"/>
                <w:highlight w:val="none"/>
                <w:u w:val="single"/>
              </w:rPr>
              <w:t xml:space="preserve"> </w:t>
            </w:r>
            <w:r>
              <w:rPr>
                <w:rFonts w:hint="eastAsia" w:ascii="宋体" w:hAnsi="宋体" w:cs="宋体"/>
                <w:b/>
                <w:color w:val="auto"/>
                <w:spacing w:val="-4"/>
                <w:szCs w:val="21"/>
                <w:highlight w:val="none"/>
              </w:rPr>
              <w:t>分至</w:t>
            </w:r>
            <w:r>
              <w:rPr>
                <w:rFonts w:hint="eastAsia" w:ascii="宋体" w:hAnsi="宋体" w:cs="宋体"/>
                <w:b/>
                <w:color w:val="auto"/>
                <w:spacing w:val="-4"/>
                <w:szCs w:val="21"/>
                <w:highlight w:val="none"/>
                <w:u w:val="single"/>
              </w:rPr>
              <w:t xml:space="preserve"> </w:t>
            </w:r>
            <w:r>
              <w:rPr>
                <w:rFonts w:hint="eastAsia" w:ascii="宋体" w:hAnsi="宋体" w:cs="宋体"/>
                <w:b/>
                <w:color w:val="auto"/>
                <w:spacing w:val="-4"/>
                <w:szCs w:val="21"/>
                <w:highlight w:val="none"/>
                <w:u w:val="single"/>
                <w:lang w:val="en-US" w:eastAsia="zh-CN"/>
              </w:rPr>
              <w:t>09</w:t>
            </w:r>
            <w:r>
              <w:rPr>
                <w:rFonts w:hint="eastAsia" w:ascii="宋体" w:hAnsi="宋体" w:cs="宋体"/>
                <w:b/>
                <w:color w:val="auto"/>
                <w:spacing w:val="-4"/>
                <w:szCs w:val="21"/>
                <w:highlight w:val="none"/>
                <w:u w:val="single"/>
              </w:rPr>
              <w:t xml:space="preserve"> </w:t>
            </w:r>
            <w:r>
              <w:rPr>
                <w:rFonts w:hint="eastAsia" w:ascii="宋体" w:hAnsi="宋体" w:cs="宋体"/>
                <w:b/>
                <w:color w:val="auto"/>
                <w:spacing w:val="-4"/>
                <w:szCs w:val="21"/>
                <w:highlight w:val="none"/>
              </w:rPr>
              <w:t>时</w:t>
            </w:r>
            <w:r>
              <w:rPr>
                <w:rFonts w:hint="eastAsia" w:ascii="宋体" w:hAnsi="宋体" w:cs="宋体"/>
                <w:b/>
                <w:color w:val="auto"/>
                <w:spacing w:val="-4"/>
                <w:szCs w:val="21"/>
                <w:highlight w:val="none"/>
                <w:u w:val="single"/>
                <w:lang w:val="en-US" w:eastAsia="zh-CN"/>
              </w:rPr>
              <w:t>30</w:t>
            </w:r>
            <w:r>
              <w:rPr>
                <w:rFonts w:hint="eastAsia" w:ascii="宋体" w:hAnsi="宋体" w:cs="宋体"/>
                <w:b/>
                <w:color w:val="auto"/>
                <w:spacing w:val="-4"/>
                <w:szCs w:val="21"/>
                <w:highlight w:val="none"/>
              </w:rPr>
              <w:t>分（北京时间）</w:t>
            </w:r>
          </w:p>
        </w:tc>
      </w:tr>
      <w:tr w14:paraId="1A306E7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22" w:hRule="atLeast"/>
          <w:jc w:val="center"/>
        </w:trPr>
        <w:tc>
          <w:tcPr>
            <w:tcW w:w="1221" w:type="dxa"/>
            <w:vAlign w:val="center"/>
          </w:tcPr>
          <w:p w14:paraId="27AD937F">
            <w:pPr>
              <w:snapToGrid w:val="0"/>
              <w:spacing w:line="400" w:lineRule="exact"/>
              <w:jc w:val="center"/>
              <w:rPr>
                <w:rFonts w:ascii="宋体" w:hAnsi="宋体"/>
                <w:color w:val="auto"/>
                <w:kern w:val="0"/>
                <w:szCs w:val="21"/>
                <w:highlight w:val="none"/>
              </w:rPr>
            </w:pPr>
            <w:r>
              <w:rPr>
                <w:rFonts w:ascii="宋体" w:hAnsi="宋体"/>
                <w:color w:val="auto"/>
                <w:kern w:val="0"/>
                <w:szCs w:val="21"/>
                <w:highlight w:val="none"/>
              </w:rPr>
              <w:t>4.2.3</w:t>
            </w:r>
          </w:p>
        </w:tc>
        <w:tc>
          <w:tcPr>
            <w:tcW w:w="1610" w:type="dxa"/>
            <w:vAlign w:val="center"/>
          </w:tcPr>
          <w:p w14:paraId="4865F208">
            <w:pPr>
              <w:snapToGrid w:val="0"/>
              <w:spacing w:line="400" w:lineRule="exact"/>
              <w:jc w:val="center"/>
              <w:rPr>
                <w:rFonts w:ascii="宋体" w:hAnsi="宋体"/>
                <w:color w:val="auto"/>
                <w:kern w:val="0"/>
                <w:szCs w:val="21"/>
                <w:highlight w:val="none"/>
              </w:rPr>
            </w:pPr>
            <w:r>
              <w:rPr>
                <w:rFonts w:ascii="宋体" w:hAnsi="宋体"/>
                <w:color w:val="auto"/>
                <w:kern w:val="0"/>
                <w:szCs w:val="21"/>
                <w:highlight w:val="none"/>
              </w:rPr>
              <w:t>是否退还投标文件</w:t>
            </w:r>
          </w:p>
        </w:tc>
        <w:tc>
          <w:tcPr>
            <w:tcW w:w="6737" w:type="dxa"/>
            <w:vAlign w:val="center"/>
          </w:tcPr>
          <w:p w14:paraId="4BB9A6D5">
            <w:pPr>
              <w:snapToGrid w:val="0"/>
              <w:spacing w:line="400" w:lineRule="exact"/>
              <w:ind w:firstLine="420" w:firstLineChars="200"/>
              <w:rPr>
                <w:rFonts w:ascii="宋体" w:hAnsi="宋体"/>
                <w:color w:val="auto"/>
                <w:kern w:val="0"/>
                <w:szCs w:val="21"/>
                <w:highlight w:val="none"/>
              </w:rPr>
            </w:pPr>
            <w:r>
              <w:rPr>
                <w:rFonts w:ascii="宋体" w:hAnsi="宋体"/>
                <w:color w:val="auto"/>
                <w:kern w:val="0"/>
                <w:szCs w:val="21"/>
                <w:highlight w:val="none"/>
              </w:rPr>
              <w:t>否</w:t>
            </w:r>
          </w:p>
        </w:tc>
      </w:tr>
      <w:tr w14:paraId="621F5CC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39" w:hRule="atLeast"/>
          <w:jc w:val="center"/>
        </w:trPr>
        <w:tc>
          <w:tcPr>
            <w:tcW w:w="1221" w:type="dxa"/>
            <w:vAlign w:val="center"/>
          </w:tcPr>
          <w:p w14:paraId="7149E018">
            <w:pPr>
              <w:snapToGrid w:val="0"/>
              <w:spacing w:line="400" w:lineRule="exact"/>
              <w:jc w:val="center"/>
              <w:rPr>
                <w:rFonts w:ascii="宋体" w:hAnsi="宋体"/>
                <w:color w:val="auto"/>
                <w:kern w:val="0"/>
                <w:szCs w:val="21"/>
                <w:highlight w:val="none"/>
              </w:rPr>
            </w:pPr>
            <w:r>
              <w:rPr>
                <w:rFonts w:ascii="宋体" w:hAnsi="宋体"/>
                <w:color w:val="auto"/>
                <w:kern w:val="0"/>
                <w:szCs w:val="21"/>
                <w:highlight w:val="none"/>
              </w:rPr>
              <w:t>5.1</w:t>
            </w:r>
            <w:r>
              <w:rPr>
                <w:rFonts w:hint="eastAsia" w:ascii="宋体" w:hAnsi="宋体"/>
                <w:color w:val="auto"/>
                <w:kern w:val="0"/>
                <w:szCs w:val="21"/>
                <w:highlight w:val="none"/>
              </w:rPr>
              <w:t>.1</w:t>
            </w:r>
          </w:p>
        </w:tc>
        <w:tc>
          <w:tcPr>
            <w:tcW w:w="1610" w:type="dxa"/>
            <w:vAlign w:val="center"/>
          </w:tcPr>
          <w:p w14:paraId="714100CF">
            <w:pPr>
              <w:snapToGrid w:val="0"/>
              <w:spacing w:line="400" w:lineRule="exact"/>
              <w:jc w:val="center"/>
              <w:rPr>
                <w:rFonts w:ascii="宋体" w:hAnsi="宋体"/>
                <w:color w:val="auto"/>
                <w:kern w:val="0"/>
                <w:szCs w:val="21"/>
                <w:highlight w:val="none"/>
              </w:rPr>
            </w:pPr>
            <w:r>
              <w:rPr>
                <w:rFonts w:ascii="宋体" w:hAnsi="宋体"/>
                <w:color w:val="auto"/>
                <w:kern w:val="0"/>
                <w:szCs w:val="21"/>
                <w:highlight w:val="none"/>
              </w:rPr>
              <w:t>开标时间和</w:t>
            </w:r>
          </w:p>
          <w:p w14:paraId="61E2E4CE">
            <w:pPr>
              <w:snapToGrid w:val="0"/>
              <w:spacing w:line="400" w:lineRule="exact"/>
              <w:jc w:val="center"/>
              <w:rPr>
                <w:rFonts w:ascii="宋体" w:hAnsi="宋体"/>
                <w:color w:val="auto"/>
                <w:kern w:val="0"/>
                <w:szCs w:val="21"/>
                <w:highlight w:val="none"/>
              </w:rPr>
            </w:pPr>
            <w:r>
              <w:rPr>
                <w:rFonts w:ascii="宋体" w:hAnsi="宋体"/>
                <w:color w:val="auto"/>
                <w:kern w:val="0"/>
                <w:szCs w:val="21"/>
                <w:highlight w:val="none"/>
              </w:rPr>
              <w:t>地点</w:t>
            </w:r>
          </w:p>
        </w:tc>
        <w:tc>
          <w:tcPr>
            <w:tcW w:w="6737" w:type="dxa"/>
            <w:vAlign w:val="center"/>
          </w:tcPr>
          <w:p w14:paraId="16C76D7D">
            <w:pPr>
              <w:snapToGrid w:val="0"/>
              <w:spacing w:line="400" w:lineRule="exact"/>
              <w:ind w:firstLine="420" w:firstLineChars="200"/>
              <w:rPr>
                <w:rStyle w:val="219"/>
                <w:rFonts w:ascii="宋体" w:hAnsi="宋体"/>
                <w:color w:val="auto"/>
                <w:kern w:val="0"/>
                <w:szCs w:val="21"/>
                <w:highlight w:val="none"/>
              </w:rPr>
            </w:pPr>
            <w:r>
              <w:rPr>
                <w:rStyle w:val="219"/>
                <w:rFonts w:hint="eastAsia" w:ascii="宋体" w:hAnsi="宋体"/>
                <w:color w:val="auto"/>
                <w:kern w:val="0"/>
                <w:szCs w:val="21"/>
                <w:highlight w:val="none"/>
              </w:rPr>
              <w:t xml:space="preserve">开标时间：同竞选截止时间。                                                                                                                                                                                                                                                                                                                                                                                                                                                                                                                                                                                                                 </w:t>
            </w:r>
          </w:p>
          <w:p w14:paraId="7DC6C208">
            <w:pPr>
              <w:snapToGrid w:val="0"/>
              <w:spacing w:line="400" w:lineRule="exact"/>
              <w:ind w:firstLine="420" w:firstLineChars="200"/>
              <w:rPr>
                <w:rStyle w:val="219"/>
                <w:rFonts w:hint="default" w:ascii="宋体" w:hAnsi="宋体"/>
                <w:color w:val="auto"/>
                <w:kern w:val="0"/>
                <w:szCs w:val="21"/>
                <w:highlight w:val="none"/>
                <w:lang w:val="en-US"/>
              </w:rPr>
            </w:pPr>
            <w:r>
              <w:rPr>
                <w:rStyle w:val="219"/>
                <w:rFonts w:hint="eastAsia" w:ascii="宋体" w:hAnsi="宋体"/>
                <w:color w:val="auto"/>
                <w:kern w:val="0"/>
                <w:szCs w:val="21"/>
                <w:highlight w:val="none"/>
              </w:rPr>
              <w:t>开标地址：</w:t>
            </w:r>
            <w:r>
              <w:rPr>
                <w:rFonts w:hint="eastAsia" w:ascii="宋体" w:hAnsi="宋体" w:cs="宋体"/>
                <w:b/>
                <w:color w:val="auto"/>
                <w:szCs w:val="21"/>
                <w:highlight w:val="none"/>
                <w:lang w:val="en-US" w:eastAsia="zh-CN"/>
              </w:rPr>
              <w:t>重庆市医药卫生学校附属医院108楼会议室</w:t>
            </w:r>
          </w:p>
        </w:tc>
      </w:tr>
      <w:tr w14:paraId="568201C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693" w:hRule="atLeast"/>
          <w:jc w:val="center"/>
        </w:trPr>
        <w:tc>
          <w:tcPr>
            <w:tcW w:w="1221" w:type="dxa"/>
            <w:vAlign w:val="center"/>
          </w:tcPr>
          <w:p w14:paraId="659967D2">
            <w:pPr>
              <w:snapToGrid w:val="0"/>
              <w:spacing w:line="400" w:lineRule="exact"/>
              <w:jc w:val="center"/>
              <w:rPr>
                <w:rFonts w:ascii="宋体" w:hAnsi="宋体"/>
                <w:color w:val="auto"/>
                <w:szCs w:val="21"/>
                <w:highlight w:val="none"/>
              </w:rPr>
            </w:pPr>
            <w:r>
              <w:rPr>
                <w:rFonts w:ascii="宋体" w:hAnsi="宋体"/>
                <w:color w:val="auto"/>
                <w:szCs w:val="21"/>
                <w:highlight w:val="none"/>
              </w:rPr>
              <w:t>5.2</w:t>
            </w:r>
          </w:p>
        </w:tc>
        <w:tc>
          <w:tcPr>
            <w:tcW w:w="1610" w:type="dxa"/>
            <w:vAlign w:val="center"/>
          </w:tcPr>
          <w:p w14:paraId="26494758">
            <w:pPr>
              <w:snapToGrid w:val="0"/>
              <w:spacing w:line="400" w:lineRule="exact"/>
              <w:jc w:val="center"/>
              <w:rPr>
                <w:rFonts w:ascii="宋体" w:hAnsi="宋体"/>
                <w:color w:val="auto"/>
                <w:szCs w:val="21"/>
                <w:highlight w:val="none"/>
              </w:rPr>
            </w:pPr>
            <w:r>
              <w:rPr>
                <w:rFonts w:ascii="宋体" w:hAnsi="宋体"/>
                <w:color w:val="auto"/>
                <w:szCs w:val="21"/>
                <w:highlight w:val="none"/>
              </w:rPr>
              <w:t>开标程序</w:t>
            </w:r>
          </w:p>
        </w:tc>
        <w:tc>
          <w:tcPr>
            <w:tcW w:w="6737" w:type="dxa"/>
            <w:vAlign w:val="center"/>
          </w:tcPr>
          <w:p w14:paraId="2C5D4AB6">
            <w:pPr>
              <w:autoSpaceDE w:val="0"/>
              <w:autoSpaceDN w:val="0"/>
              <w:adjustRightInd w:val="0"/>
              <w:snapToGrid w:val="0"/>
              <w:spacing w:line="400" w:lineRule="exact"/>
              <w:ind w:firstLine="420" w:firstLineChars="200"/>
              <w:rPr>
                <w:rFonts w:ascii="宋体" w:hAnsi="宋体"/>
                <w:color w:val="auto"/>
                <w:szCs w:val="21"/>
                <w:highlight w:val="none"/>
              </w:rPr>
            </w:pPr>
            <w:r>
              <w:rPr>
                <w:rFonts w:ascii="宋体" w:hAnsi="宋体"/>
                <w:color w:val="auto"/>
                <w:szCs w:val="21"/>
                <w:highlight w:val="none"/>
              </w:rPr>
              <w:t>主持人按下列程序进行开标：</w:t>
            </w:r>
          </w:p>
          <w:p w14:paraId="36F8C994">
            <w:pPr>
              <w:autoSpaceDE w:val="0"/>
              <w:autoSpaceDN w:val="0"/>
              <w:adjustRightInd w:val="0"/>
              <w:snapToGrid w:val="0"/>
              <w:spacing w:line="400" w:lineRule="exact"/>
              <w:ind w:firstLine="420" w:firstLineChars="200"/>
              <w:rPr>
                <w:rFonts w:ascii="宋体" w:hAnsi="宋体"/>
                <w:color w:val="auto"/>
                <w:szCs w:val="21"/>
                <w:highlight w:val="none"/>
              </w:rPr>
            </w:pPr>
            <w:r>
              <w:rPr>
                <w:rFonts w:ascii="宋体" w:hAnsi="宋体"/>
                <w:color w:val="auto"/>
                <w:szCs w:val="21"/>
                <w:highlight w:val="none"/>
              </w:rPr>
              <w:t>1. 核验参加开标会议的</w:t>
            </w:r>
            <w:r>
              <w:rPr>
                <w:rFonts w:hint="eastAsia" w:ascii="宋体" w:hAnsi="宋体"/>
                <w:color w:val="auto"/>
                <w:szCs w:val="21"/>
                <w:highlight w:val="none"/>
              </w:rPr>
              <w:t>竞选人</w:t>
            </w:r>
            <w:r>
              <w:rPr>
                <w:rFonts w:ascii="宋体" w:hAnsi="宋体"/>
                <w:color w:val="auto"/>
                <w:szCs w:val="21"/>
                <w:highlight w:val="none"/>
              </w:rPr>
              <w:t>的法定代表人或</w:t>
            </w:r>
            <w:r>
              <w:rPr>
                <w:rFonts w:hint="eastAsia" w:ascii="宋体" w:hAnsi="宋体"/>
                <w:color w:val="auto"/>
                <w:szCs w:val="21"/>
                <w:highlight w:val="none"/>
              </w:rPr>
              <w:t>委托代理人</w:t>
            </w:r>
            <w:r>
              <w:rPr>
                <w:rFonts w:ascii="宋体" w:hAnsi="宋体"/>
                <w:color w:val="auto"/>
                <w:szCs w:val="21"/>
                <w:highlight w:val="none"/>
              </w:rPr>
              <w:t>本人身份证（原件），核验委托代理人的授权委托书，以确认其身份合法有效；</w:t>
            </w:r>
            <w:r>
              <w:rPr>
                <w:rFonts w:hint="eastAsia" w:ascii="宋体" w:hAnsi="宋体"/>
                <w:color w:val="auto"/>
                <w:szCs w:val="21"/>
                <w:highlight w:val="none"/>
              </w:rPr>
              <w:t>若经核实委托代理人提供资料与实际不符的，不得参加开标会。核验合格的法定代表人或委托代理人可自行选择是否参加开标会，不参加开标会的视为默认开标结果。</w:t>
            </w:r>
          </w:p>
          <w:p w14:paraId="799E9359">
            <w:pPr>
              <w:autoSpaceDE w:val="0"/>
              <w:autoSpaceDN w:val="0"/>
              <w:adjustRightInd w:val="0"/>
              <w:snapToGrid w:val="0"/>
              <w:spacing w:line="400" w:lineRule="exact"/>
              <w:ind w:firstLine="420" w:firstLineChars="200"/>
              <w:rPr>
                <w:rFonts w:ascii="宋体" w:hAnsi="宋体"/>
                <w:color w:val="auto"/>
                <w:szCs w:val="21"/>
                <w:highlight w:val="none"/>
              </w:rPr>
            </w:pPr>
            <w:r>
              <w:rPr>
                <w:rFonts w:ascii="宋体" w:hAnsi="宋体"/>
                <w:color w:val="auto"/>
                <w:szCs w:val="21"/>
                <w:highlight w:val="none"/>
              </w:rPr>
              <w:t>2.</w:t>
            </w:r>
            <w:r>
              <w:rPr>
                <w:rFonts w:hint="eastAsia" w:ascii="宋体" w:hAnsi="宋体"/>
                <w:color w:val="auto"/>
                <w:szCs w:val="21"/>
                <w:highlight w:val="none"/>
              </w:rPr>
              <w:t xml:space="preserve"> </w:t>
            </w:r>
            <w:r>
              <w:rPr>
                <w:rFonts w:ascii="宋体" w:hAnsi="宋体"/>
                <w:color w:val="auto"/>
                <w:szCs w:val="21"/>
                <w:highlight w:val="none"/>
              </w:rPr>
              <w:t>宣布开标纪律</w:t>
            </w:r>
            <w:r>
              <w:rPr>
                <w:rFonts w:hint="eastAsia" w:ascii="宋体" w:hAnsi="宋体"/>
                <w:color w:val="auto"/>
                <w:szCs w:val="21"/>
                <w:highlight w:val="none"/>
              </w:rPr>
              <w:t>。</w:t>
            </w:r>
          </w:p>
          <w:p w14:paraId="6A83DD32">
            <w:pPr>
              <w:autoSpaceDE w:val="0"/>
              <w:autoSpaceDN w:val="0"/>
              <w:adjustRightInd w:val="0"/>
              <w:snapToGrid w:val="0"/>
              <w:spacing w:line="400" w:lineRule="exact"/>
              <w:ind w:firstLine="420" w:firstLineChars="200"/>
              <w:rPr>
                <w:rFonts w:ascii="宋体" w:hAnsi="宋体"/>
                <w:color w:val="auto"/>
                <w:szCs w:val="21"/>
                <w:highlight w:val="none"/>
              </w:rPr>
            </w:pPr>
            <w:r>
              <w:rPr>
                <w:rFonts w:ascii="宋体" w:hAnsi="宋体"/>
                <w:color w:val="auto"/>
                <w:szCs w:val="21"/>
                <w:highlight w:val="none"/>
              </w:rPr>
              <w:t>3. 宣布开标人、唱标人、记录人、监标人等有关人员姓名</w:t>
            </w:r>
            <w:r>
              <w:rPr>
                <w:rFonts w:hint="eastAsia" w:ascii="宋体" w:hAnsi="宋体"/>
                <w:color w:val="auto"/>
                <w:szCs w:val="21"/>
                <w:highlight w:val="none"/>
              </w:rPr>
              <w:t>。</w:t>
            </w:r>
          </w:p>
          <w:p w14:paraId="0B880073">
            <w:pPr>
              <w:autoSpaceDE w:val="0"/>
              <w:autoSpaceDN w:val="0"/>
              <w:adjustRightInd w:val="0"/>
              <w:snapToGrid w:val="0"/>
              <w:spacing w:line="400" w:lineRule="exact"/>
              <w:ind w:firstLine="420" w:firstLineChars="200"/>
              <w:rPr>
                <w:rFonts w:ascii="宋体" w:hAnsi="宋体"/>
                <w:color w:val="auto"/>
                <w:szCs w:val="21"/>
                <w:highlight w:val="none"/>
              </w:rPr>
            </w:pPr>
            <w:r>
              <w:rPr>
                <w:rFonts w:ascii="宋体" w:hAnsi="宋体"/>
                <w:color w:val="auto"/>
                <w:szCs w:val="21"/>
                <w:highlight w:val="none"/>
              </w:rPr>
              <w:t>4. 公布在</w:t>
            </w:r>
            <w:r>
              <w:rPr>
                <w:rFonts w:hint="eastAsia" w:ascii="宋体" w:hAnsi="宋体"/>
                <w:color w:val="auto"/>
                <w:szCs w:val="21"/>
                <w:highlight w:val="none"/>
              </w:rPr>
              <w:t>竞选</w:t>
            </w:r>
            <w:r>
              <w:rPr>
                <w:rFonts w:ascii="宋体" w:hAnsi="宋体"/>
                <w:color w:val="auto"/>
                <w:szCs w:val="21"/>
                <w:highlight w:val="none"/>
              </w:rPr>
              <w:t>截止时间前递交</w:t>
            </w:r>
            <w:r>
              <w:rPr>
                <w:rFonts w:hint="eastAsia" w:ascii="宋体" w:hAnsi="宋体"/>
                <w:color w:val="auto"/>
                <w:szCs w:val="21"/>
                <w:highlight w:val="none"/>
              </w:rPr>
              <w:t>竞选</w:t>
            </w:r>
            <w:r>
              <w:rPr>
                <w:rFonts w:ascii="宋体" w:hAnsi="宋体"/>
                <w:color w:val="auto"/>
                <w:szCs w:val="21"/>
                <w:highlight w:val="none"/>
              </w:rPr>
              <w:t>文件的</w:t>
            </w:r>
            <w:r>
              <w:rPr>
                <w:rFonts w:hint="eastAsia" w:ascii="宋体" w:hAnsi="宋体"/>
                <w:color w:val="auto"/>
                <w:szCs w:val="21"/>
                <w:highlight w:val="none"/>
              </w:rPr>
              <w:t>竞选人</w:t>
            </w:r>
            <w:r>
              <w:rPr>
                <w:rFonts w:ascii="宋体" w:hAnsi="宋体"/>
                <w:color w:val="auto"/>
                <w:szCs w:val="21"/>
                <w:highlight w:val="none"/>
              </w:rPr>
              <w:t>名称</w:t>
            </w:r>
            <w:r>
              <w:rPr>
                <w:rFonts w:hint="eastAsia" w:ascii="宋体" w:hAnsi="宋体"/>
                <w:color w:val="auto"/>
                <w:szCs w:val="21"/>
                <w:highlight w:val="none"/>
              </w:rPr>
              <w:t>。</w:t>
            </w:r>
          </w:p>
          <w:p w14:paraId="299AA910">
            <w:pPr>
              <w:snapToGrid w:val="0"/>
              <w:spacing w:line="400" w:lineRule="exact"/>
              <w:ind w:firstLine="420" w:firstLineChars="200"/>
              <w:rPr>
                <w:rFonts w:ascii="宋体" w:hAnsi="宋体"/>
                <w:color w:val="auto"/>
                <w:szCs w:val="21"/>
                <w:highlight w:val="none"/>
              </w:rPr>
            </w:pPr>
            <w:r>
              <w:rPr>
                <w:rFonts w:ascii="宋体" w:hAnsi="宋体"/>
                <w:color w:val="auto"/>
                <w:szCs w:val="21"/>
                <w:highlight w:val="none"/>
              </w:rPr>
              <w:t xml:space="preserve">5. </w:t>
            </w:r>
            <w:r>
              <w:rPr>
                <w:rFonts w:hint="eastAsia" w:ascii="宋体" w:hAnsi="宋体"/>
                <w:color w:val="auto"/>
                <w:szCs w:val="21"/>
                <w:highlight w:val="none"/>
              </w:rPr>
              <w:t>竞选文件的密封检查：竞选人可对自己的竞选文件封装情况进行检查，以确认其竞选文件密封完好。</w:t>
            </w:r>
          </w:p>
          <w:p w14:paraId="16100D31">
            <w:pPr>
              <w:snapToGrid w:val="0"/>
              <w:spacing w:line="400" w:lineRule="exact"/>
              <w:ind w:firstLine="420" w:firstLineChars="200"/>
              <w:rPr>
                <w:rFonts w:ascii="宋体" w:hAnsi="宋体"/>
                <w:color w:val="auto"/>
                <w:szCs w:val="21"/>
                <w:highlight w:val="none"/>
              </w:rPr>
            </w:pPr>
            <w:r>
              <w:rPr>
                <w:rFonts w:hint="eastAsia" w:ascii="宋体" w:hAnsi="宋体"/>
                <w:color w:val="auto"/>
                <w:szCs w:val="21"/>
                <w:highlight w:val="none"/>
              </w:rPr>
              <w:t>6. 汇总竞选保证金缴纳情况</w:t>
            </w:r>
          </w:p>
          <w:p w14:paraId="1D1A73E6">
            <w:pPr>
              <w:snapToGrid w:val="0"/>
              <w:spacing w:line="400" w:lineRule="exact"/>
              <w:ind w:firstLine="420" w:firstLineChars="200"/>
              <w:rPr>
                <w:rFonts w:ascii="宋体" w:hAnsi="宋体"/>
                <w:color w:val="auto"/>
                <w:szCs w:val="21"/>
                <w:highlight w:val="none"/>
              </w:rPr>
            </w:pPr>
            <w:r>
              <w:rPr>
                <w:rFonts w:ascii="宋体" w:hAnsi="宋体"/>
                <w:color w:val="auto"/>
                <w:szCs w:val="21"/>
                <w:highlight w:val="none"/>
              </w:rPr>
              <w:t>7. 设有最高限价的，公布最高限价</w:t>
            </w:r>
            <w:r>
              <w:rPr>
                <w:rFonts w:hint="eastAsia" w:ascii="宋体" w:hAnsi="宋体"/>
                <w:color w:val="auto"/>
                <w:szCs w:val="21"/>
                <w:highlight w:val="none"/>
              </w:rPr>
              <w:t>。</w:t>
            </w:r>
          </w:p>
          <w:p w14:paraId="264D84C4">
            <w:pPr>
              <w:snapToGrid w:val="0"/>
              <w:spacing w:line="400" w:lineRule="exact"/>
              <w:ind w:firstLine="420" w:firstLineChars="200"/>
              <w:rPr>
                <w:rFonts w:ascii="宋体" w:hAnsi="宋体"/>
                <w:color w:val="auto"/>
                <w:szCs w:val="21"/>
                <w:highlight w:val="none"/>
              </w:rPr>
            </w:pPr>
            <w:r>
              <w:rPr>
                <w:rFonts w:hint="eastAsia" w:ascii="宋体" w:hAnsi="宋体"/>
                <w:color w:val="auto"/>
                <w:szCs w:val="21"/>
                <w:highlight w:val="none"/>
              </w:rPr>
              <w:t>8</w:t>
            </w:r>
            <w:r>
              <w:rPr>
                <w:rFonts w:ascii="宋体" w:hAnsi="宋体"/>
                <w:color w:val="auto"/>
                <w:szCs w:val="21"/>
                <w:highlight w:val="none"/>
              </w:rPr>
              <w:t>.</w:t>
            </w:r>
            <w:r>
              <w:rPr>
                <w:rFonts w:hint="eastAsia" w:ascii="宋体" w:hAnsi="宋体"/>
                <w:color w:val="auto"/>
                <w:szCs w:val="21"/>
                <w:highlight w:val="none"/>
              </w:rPr>
              <w:t xml:space="preserve"> </w:t>
            </w:r>
            <w:r>
              <w:rPr>
                <w:rFonts w:ascii="宋体" w:hAnsi="宋体"/>
                <w:color w:val="auto"/>
                <w:szCs w:val="21"/>
                <w:highlight w:val="none"/>
              </w:rPr>
              <w:t>逐单位随机开启</w:t>
            </w:r>
            <w:r>
              <w:rPr>
                <w:rFonts w:hint="eastAsia" w:ascii="宋体" w:hAnsi="宋体"/>
                <w:color w:val="auto"/>
                <w:szCs w:val="21"/>
                <w:highlight w:val="none"/>
              </w:rPr>
              <w:t>竞选</w:t>
            </w:r>
            <w:r>
              <w:rPr>
                <w:rFonts w:ascii="宋体" w:hAnsi="宋体"/>
                <w:color w:val="auto"/>
                <w:szCs w:val="21"/>
                <w:highlight w:val="none"/>
              </w:rPr>
              <w:t>文件。公布</w:t>
            </w:r>
            <w:r>
              <w:rPr>
                <w:rFonts w:hint="eastAsia" w:ascii="宋体" w:hAnsi="宋体"/>
                <w:color w:val="auto"/>
                <w:szCs w:val="21"/>
                <w:highlight w:val="none"/>
              </w:rPr>
              <w:t>竞选人</w:t>
            </w:r>
            <w:r>
              <w:rPr>
                <w:rFonts w:ascii="宋体" w:hAnsi="宋体"/>
                <w:color w:val="auto"/>
                <w:szCs w:val="21"/>
                <w:highlight w:val="none"/>
              </w:rPr>
              <w:t>名称、标段名称、</w:t>
            </w:r>
            <w:r>
              <w:rPr>
                <w:rFonts w:hint="eastAsia" w:ascii="宋体" w:hAnsi="宋体"/>
                <w:color w:val="auto"/>
                <w:szCs w:val="21"/>
                <w:highlight w:val="none"/>
              </w:rPr>
              <w:t>竞选</w:t>
            </w:r>
            <w:r>
              <w:rPr>
                <w:rFonts w:ascii="宋体" w:hAnsi="宋体"/>
                <w:color w:val="auto"/>
                <w:szCs w:val="21"/>
                <w:highlight w:val="none"/>
              </w:rPr>
              <w:t>报价、质量要求、工期及其他内容并记录在案</w:t>
            </w:r>
            <w:r>
              <w:rPr>
                <w:rFonts w:hint="eastAsia" w:ascii="宋体" w:hAnsi="宋体"/>
                <w:color w:val="auto"/>
                <w:szCs w:val="21"/>
                <w:highlight w:val="none"/>
              </w:rPr>
              <w:t>。</w:t>
            </w:r>
          </w:p>
          <w:p w14:paraId="0C544B80">
            <w:pPr>
              <w:autoSpaceDE w:val="0"/>
              <w:autoSpaceDN w:val="0"/>
              <w:adjustRightInd w:val="0"/>
              <w:snapToGrid w:val="0"/>
              <w:spacing w:line="400" w:lineRule="exact"/>
              <w:ind w:firstLine="420" w:firstLineChars="200"/>
              <w:rPr>
                <w:rFonts w:ascii="宋体" w:hAnsi="宋体"/>
                <w:color w:val="auto"/>
                <w:szCs w:val="21"/>
                <w:highlight w:val="none"/>
              </w:rPr>
            </w:pPr>
            <w:r>
              <w:rPr>
                <w:rFonts w:hint="eastAsia" w:ascii="宋体" w:hAnsi="宋体"/>
                <w:color w:val="auto"/>
                <w:szCs w:val="21"/>
                <w:highlight w:val="none"/>
              </w:rPr>
              <w:t>9. 竞选人</w:t>
            </w:r>
            <w:r>
              <w:rPr>
                <w:rFonts w:ascii="宋体" w:hAnsi="宋体"/>
                <w:color w:val="auto"/>
                <w:szCs w:val="21"/>
                <w:highlight w:val="none"/>
              </w:rPr>
              <w:t>代表、</w:t>
            </w:r>
            <w:r>
              <w:rPr>
                <w:rFonts w:hint="eastAsia" w:ascii="宋体" w:hAnsi="宋体"/>
                <w:color w:val="auto"/>
                <w:szCs w:val="21"/>
                <w:highlight w:val="none"/>
              </w:rPr>
              <w:t>比选人</w:t>
            </w:r>
            <w:r>
              <w:rPr>
                <w:rFonts w:ascii="宋体" w:hAnsi="宋体"/>
                <w:color w:val="auto"/>
                <w:szCs w:val="21"/>
                <w:highlight w:val="none"/>
              </w:rPr>
              <w:t>代表、监标人、记录人等有关人员在开标记录上签字确认</w:t>
            </w:r>
            <w:r>
              <w:rPr>
                <w:rFonts w:hint="eastAsia" w:ascii="宋体" w:hAnsi="宋体"/>
                <w:color w:val="auto"/>
                <w:szCs w:val="21"/>
                <w:highlight w:val="none"/>
              </w:rPr>
              <w:t>。</w:t>
            </w:r>
          </w:p>
          <w:p w14:paraId="6F488A04">
            <w:pPr>
              <w:autoSpaceDE w:val="0"/>
              <w:autoSpaceDN w:val="0"/>
              <w:adjustRightInd w:val="0"/>
              <w:snapToGrid w:val="0"/>
              <w:spacing w:line="400" w:lineRule="exact"/>
              <w:ind w:firstLine="420" w:firstLineChars="200"/>
              <w:rPr>
                <w:rFonts w:ascii="宋体" w:hAnsi="宋体"/>
                <w:color w:val="auto"/>
                <w:szCs w:val="21"/>
                <w:highlight w:val="none"/>
              </w:rPr>
            </w:pPr>
            <w:r>
              <w:rPr>
                <w:rFonts w:ascii="宋体" w:hAnsi="宋体"/>
                <w:color w:val="auto"/>
                <w:szCs w:val="21"/>
                <w:highlight w:val="none"/>
              </w:rPr>
              <w:t>1</w:t>
            </w:r>
            <w:r>
              <w:rPr>
                <w:rFonts w:hint="eastAsia" w:ascii="宋体" w:hAnsi="宋体"/>
                <w:color w:val="auto"/>
                <w:szCs w:val="21"/>
                <w:highlight w:val="none"/>
              </w:rPr>
              <w:t>0</w:t>
            </w:r>
            <w:r>
              <w:rPr>
                <w:rFonts w:ascii="宋体" w:hAnsi="宋体"/>
                <w:color w:val="auto"/>
                <w:szCs w:val="21"/>
                <w:highlight w:val="none"/>
              </w:rPr>
              <w:t>. 开标结束。</w:t>
            </w:r>
          </w:p>
        </w:tc>
      </w:tr>
      <w:tr w14:paraId="1A8D416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22" w:hRule="atLeast"/>
          <w:jc w:val="center"/>
        </w:trPr>
        <w:tc>
          <w:tcPr>
            <w:tcW w:w="1221" w:type="dxa"/>
            <w:vAlign w:val="center"/>
          </w:tcPr>
          <w:p w14:paraId="44FFB6FB">
            <w:pPr>
              <w:snapToGrid w:val="0"/>
              <w:spacing w:line="400" w:lineRule="exact"/>
              <w:jc w:val="center"/>
              <w:rPr>
                <w:rFonts w:ascii="宋体" w:hAnsi="宋体"/>
                <w:color w:val="auto"/>
                <w:kern w:val="0"/>
                <w:szCs w:val="21"/>
                <w:highlight w:val="none"/>
              </w:rPr>
            </w:pPr>
            <w:r>
              <w:rPr>
                <w:rFonts w:ascii="宋体" w:hAnsi="宋体"/>
                <w:color w:val="auto"/>
                <w:kern w:val="0"/>
                <w:szCs w:val="21"/>
                <w:highlight w:val="none"/>
              </w:rPr>
              <w:t>6.1.1</w:t>
            </w:r>
          </w:p>
        </w:tc>
        <w:tc>
          <w:tcPr>
            <w:tcW w:w="1610" w:type="dxa"/>
            <w:vAlign w:val="center"/>
          </w:tcPr>
          <w:p w14:paraId="3A5C1F57">
            <w:pPr>
              <w:snapToGrid w:val="0"/>
              <w:spacing w:line="400" w:lineRule="exact"/>
              <w:jc w:val="center"/>
              <w:rPr>
                <w:rFonts w:ascii="宋体" w:hAnsi="宋体"/>
                <w:color w:val="auto"/>
                <w:kern w:val="0"/>
                <w:szCs w:val="21"/>
                <w:highlight w:val="none"/>
              </w:rPr>
            </w:pPr>
            <w:r>
              <w:rPr>
                <w:rFonts w:ascii="宋体" w:hAnsi="宋体"/>
                <w:color w:val="auto"/>
                <w:kern w:val="0"/>
                <w:szCs w:val="21"/>
                <w:highlight w:val="none"/>
              </w:rPr>
              <w:t>评标委员会的组建</w:t>
            </w:r>
          </w:p>
        </w:tc>
        <w:tc>
          <w:tcPr>
            <w:tcW w:w="6737" w:type="dxa"/>
            <w:vAlign w:val="center"/>
          </w:tcPr>
          <w:p w14:paraId="60F55A97">
            <w:pPr>
              <w:autoSpaceDE w:val="0"/>
              <w:autoSpaceDN w:val="0"/>
              <w:adjustRightInd w:val="0"/>
              <w:snapToGrid w:val="0"/>
              <w:spacing w:line="400" w:lineRule="exact"/>
              <w:ind w:firstLine="436" w:firstLineChars="200"/>
              <w:rPr>
                <w:rFonts w:ascii="宋体" w:hAnsi="宋体"/>
                <w:color w:val="auto"/>
                <w:kern w:val="0"/>
                <w:szCs w:val="21"/>
                <w:highlight w:val="none"/>
              </w:rPr>
            </w:pPr>
            <w:r>
              <w:rPr>
                <w:rFonts w:hint="eastAsia" w:ascii="宋体" w:hAnsi="宋体"/>
                <w:color w:val="auto"/>
                <w:spacing w:val="4"/>
                <w:kern w:val="0"/>
                <w:szCs w:val="21"/>
                <w:highlight w:val="none"/>
              </w:rPr>
              <w:t>由比选人按法律法规及相关规定依法组建评标委员会</w:t>
            </w:r>
            <w:r>
              <w:rPr>
                <w:rFonts w:hint="eastAsia" w:ascii="宋体" w:hAnsi="宋体"/>
                <w:color w:val="auto"/>
                <w:kern w:val="0"/>
                <w:szCs w:val="21"/>
                <w:highlight w:val="none"/>
              </w:rPr>
              <w:t>。</w:t>
            </w:r>
          </w:p>
        </w:tc>
      </w:tr>
      <w:tr w14:paraId="1D03350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55" w:hRule="atLeast"/>
          <w:jc w:val="center"/>
        </w:trPr>
        <w:tc>
          <w:tcPr>
            <w:tcW w:w="1221" w:type="dxa"/>
            <w:vAlign w:val="center"/>
          </w:tcPr>
          <w:p w14:paraId="0AE2FC8D">
            <w:pPr>
              <w:snapToGrid w:val="0"/>
              <w:spacing w:line="400" w:lineRule="exact"/>
              <w:jc w:val="center"/>
              <w:rPr>
                <w:rFonts w:ascii="宋体" w:hAnsi="宋体"/>
                <w:color w:val="auto"/>
                <w:kern w:val="0"/>
                <w:szCs w:val="21"/>
                <w:highlight w:val="none"/>
              </w:rPr>
            </w:pPr>
            <w:r>
              <w:rPr>
                <w:rFonts w:ascii="宋体" w:hAnsi="宋体"/>
                <w:color w:val="auto"/>
                <w:kern w:val="0"/>
                <w:szCs w:val="21"/>
                <w:highlight w:val="none"/>
              </w:rPr>
              <w:t>7.1</w:t>
            </w:r>
          </w:p>
        </w:tc>
        <w:tc>
          <w:tcPr>
            <w:tcW w:w="1610" w:type="dxa"/>
            <w:vAlign w:val="center"/>
          </w:tcPr>
          <w:p w14:paraId="29F4D4B4">
            <w:pPr>
              <w:snapToGrid w:val="0"/>
              <w:spacing w:after="48" w:afterLines="20" w:line="400" w:lineRule="exact"/>
              <w:jc w:val="center"/>
              <w:rPr>
                <w:rFonts w:ascii="宋体" w:hAnsi="宋体"/>
                <w:color w:val="auto"/>
                <w:kern w:val="0"/>
                <w:szCs w:val="21"/>
                <w:highlight w:val="none"/>
              </w:rPr>
            </w:pPr>
            <w:r>
              <w:rPr>
                <w:rFonts w:ascii="宋体" w:hAnsi="宋体"/>
                <w:color w:val="auto"/>
                <w:kern w:val="0"/>
                <w:szCs w:val="21"/>
                <w:highlight w:val="none"/>
              </w:rPr>
              <w:t>是否授权评标委员会确定中标人</w:t>
            </w:r>
          </w:p>
        </w:tc>
        <w:tc>
          <w:tcPr>
            <w:tcW w:w="6737" w:type="dxa"/>
            <w:vAlign w:val="center"/>
          </w:tcPr>
          <w:p w14:paraId="5B454A85">
            <w:pPr>
              <w:snapToGrid w:val="0"/>
              <w:spacing w:line="400" w:lineRule="exact"/>
              <w:ind w:firstLine="420" w:firstLineChars="200"/>
              <w:rPr>
                <w:rFonts w:ascii="宋体" w:hAnsi="宋体"/>
                <w:i/>
                <w:color w:val="auto"/>
                <w:kern w:val="0"/>
                <w:szCs w:val="21"/>
                <w:highlight w:val="none"/>
              </w:rPr>
            </w:pPr>
            <w:r>
              <w:rPr>
                <w:rFonts w:ascii="宋体" w:hAnsi="宋体"/>
                <w:color w:val="auto"/>
                <w:kern w:val="0"/>
                <w:szCs w:val="21"/>
                <w:highlight w:val="none"/>
              </w:rPr>
              <w:t>否，</w:t>
            </w:r>
            <w:r>
              <w:rPr>
                <w:rFonts w:hint="eastAsia" w:ascii="宋体" w:hAnsi="宋体" w:cs="宋体"/>
                <w:color w:val="auto"/>
                <w:kern w:val="0"/>
                <w:szCs w:val="21"/>
                <w:highlight w:val="none"/>
              </w:rPr>
              <w:t>推荐经评审排名前三名为中标候选人。</w:t>
            </w:r>
          </w:p>
        </w:tc>
      </w:tr>
      <w:tr w14:paraId="609594E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43" w:hRule="atLeast"/>
          <w:jc w:val="center"/>
        </w:trPr>
        <w:tc>
          <w:tcPr>
            <w:tcW w:w="1221" w:type="dxa"/>
            <w:vAlign w:val="center"/>
          </w:tcPr>
          <w:p w14:paraId="70B55571">
            <w:pPr>
              <w:snapToGrid w:val="0"/>
              <w:spacing w:line="400" w:lineRule="exact"/>
              <w:jc w:val="center"/>
              <w:rPr>
                <w:rFonts w:ascii="宋体" w:hAnsi="宋体"/>
                <w:color w:val="auto"/>
                <w:kern w:val="0"/>
                <w:szCs w:val="21"/>
                <w:highlight w:val="none"/>
              </w:rPr>
            </w:pPr>
            <w:r>
              <w:rPr>
                <w:rFonts w:hint="eastAsia" w:ascii="宋体" w:hAnsi="宋体"/>
                <w:color w:val="auto"/>
                <w:kern w:val="0"/>
                <w:szCs w:val="21"/>
                <w:highlight w:val="none"/>
              </w:rPr>
              <w:t>7.2</w:t>
            </w:r>
          </w:p>
        </w:tc>
        <w:tc>
          <w:tcPr>
            <w:tcW w:w="1610" w:type="dxa"/>
            <w:vAlign w:val="center"/>
          </w:tcPr>
          <w:p w14:paraId="03E88A8B">
            <w:pPr>
              <w:snapToGrid w:val="0"/>
              <w:spacing w:after="48" w:afterLines="20" w:line="400" w:lineRule="exact"/>
              <w:jc w:val="center"/>
              <w:rPr>
                <w:rFonts w:ascii="宋体" w:hAnsi="宋体"/>
                <w:color w:val="auto"/>
                <w:kern w:val="0"/>
                <w:szCs w:val="21"/>
                <w:highlight w:val="none"/>
              </w:rPr>
            </w:pPr>
            <w:r>
              <w:rPr>
                <w:rFonts w:ascii="宋体" w:hAnsi="宋体"/>
                <w:color w:val="auto"/>
                <w:kern w:val="0"/>
                <w:szCs w:val="21"/>
                <w:highlight w:val="none"/>
              </w:rPr>
              <w:t>中标公示</w:t>
            </w:r>
          </w:p>
        </w:tc>
        <w:tc>
          <w:tcPr>
            <w:tcW w:w="6737" w:type="dxa"/>
            <w:vAlign w:val="center"/>
          </w:tcPr>
          <w:p w14:paraId="7F31C343">
            <w:pPr>
              <w:snapToGrid w:val="0"/>
              <w:spacing w:line="400" w:lineRule="exact"/>
              <w:ind w:firstLine="420" w:firstLineChars="200"/>
              <w:rPr>
                <w:rFonts w:ascii="宋体" w:hAnsi="宋体" w:cs="宋体"/>
                <w:color w:val="auto"/>
                <w:szCs w:val="21"/>
                <w:highlight w:val="none"/>
              </w:rPr>
            </w:pPr>
            <w:r>
              <w:rPr>
                <w:rFonts w:hint="eastAsia" w:ascii="宋体" w:hAnsi="宋体" w:cs="宋体"/>
                <w:color w:val="auto"/>
                <w:szCs w:val="21"/>
                <w:highlight w:val="none"/>
              </w:rPr>
              <w:t>为深化信息公开，接受社会监督，本项目将按照《招标公告和公示信息发布管理办法》（国家发改委令第10号）的要求，比选人在收到评标报告后</w:t>
            </w:r>
            <w:r>
              <w:rPr>
                <w:rFonts w:hint="eastAsia" w:ascii="宋体" w:hAnsi="宋体" w:cs="宋体"/>
                <w:color w:val="auto"/>
                <w:szCs w:val="21"/>
                <w:highlight w:val="none"/>
                <w:lang w:val="en-US" w:eastAsia="zh-CN"/>
              </w:rPr>
              <w:t>1</w:t>
            </w:r>
            <w:r>
              <w:rPr>
                <w:rFonts w:hint="eastAsia" w:ascii="宋体" w:hAnsi="宋体" w:cs="宋体"/>
                <w:color w:val="auto"/>
                <w:szCs w:val="21"/>
                <w:highlight w:val="none"/>
              </w:rPr>
              <w:t>日内将评标结果在</w:t>
            </w:r>
            <w:r>
              <w:rPr>
                <w:rFonts w:hint="eastAsia" w:ascii="宋体" w:hAnsi="宋体" w:cs="宋体"/>
                <w:b/>
                <w:color w:val="auto"/>
                <w:szCs w:val="21"/>
                <w:highlight w:val="none"/>
                <w:lang w:val="en-US" w:eastAsia="zh-CN"/>
              </w:rPr>
              <w:t>重庆市医药卫生学校官网</w:t>
            </w:r>
            <w:r>
              <w:rPr>
                <w:rFonts w:hint="eastAsia" w:ascii="宋体" w:hAnsi="宋体" w:cs="宋体"/>
                <w:color w:val="auto"/>
                <w:szCs w:val="21"/>
                <w:highlight w:val="yellow"/>
              </w:rPr>
              <w:t>（</w:t>
            </w:r>
            <w:r>
              <w:rPr>
                <w:rFonts w:hint="eastAsia" w:ascii="宋体" w:hAnsi="宋体" w:cs="宋体"/>
                <w:color w:val="auto"/>
                <w:szCs w:val="21"/>
                <w:highlight w:val="yellow"/>
                <w:lang w:eastAsia="zh-CN"/>
              </w:rPr>
              <w:t>https://cqsmhs.cn/html/index.html</w:t>
            </w:r>
            <w:r>
              <w:rPr>
                <w:rFonts w:hint="eastAsia" w:ascii="宋体" w:hAnsi="宋体" w:cs="宋体"/>
                <w:color w:val="auto"/>
                <w:szCs w:val="21"/>
                <w:highlight w:val="yellow"/>
              </w:rPr>
              <w:t>）</w:t>
            </w:r>
            <w:r>
              <w:rPr>
                <w:rFonts w:hint="eastAsia" w:ascii="宋体" w:hAnsi="宋体" w:cs="宋体"/>
                <w:color w:val="auto"/>
                <w:szCs w:val="21"/>
                <w:highlight w:val="none"/>
              </w:rPr>
              <w:t>上进行公示，公示期为</w:t>
            </w:r>
            <w:r>
              <w:rPr>
                <w:rFonts w:hint="eastAsia" w:ascii="宋体" w:hAnsi="宋体" w:cs="宋体"/>
                <w:color w:val="auto"/>
                <w:szCs w:val="21"/>
                <w:highlight w:val="none"/>
                <w:lang w:val="en-US" w:eastAsia="zh-CN"/>
              </w:rPr>
              <w:t>1</w:t>
            </w:r>
            <w:r>
              <w:rPr>
                <w:rFonts w:hint="eastAsia" w:ascii="宋体" w:hAnsi="宋体" w:cs="宋体"/>
                <w:color w:val="auto"/>
                <w:szCs w:val="21"/>
                <w:highlight w:val="none"/>
              </w:rPr>
              <w:t>日。</w:t>
            </w:r>
          </w:p>
        </w:tc>
      </w:tr>
      <w:tr w14:paraId="1D335BC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13" w:hRule="atLeast"/>
          <w:jc w:val="center"/>
        </w:trPr>
        <w:tc>
          <w:tcPr>
            <w:tcW w:w="1221" w:type="dxa"/>
            <w:vAlign w:val="center"/>
          </w:tcPr>
          <w:p w14:paraId="6D5B9853">
            <w:pPr>
              <w:snapToGrid w:val="0"/>
              <w:spacing w:line="400" w:lineRule="exact"/>
              <w:jc w:val="center"/>
              <w:rPr>
                <w:rFonts w:ascii="宋体" w:hAnsi="宋体"/>
                <w:color w:val="auto"/>
                <w:kern w:val="0"/>
                <w:szCs w:val="21"/>
                <w:highlight w:val="none"/>
              </w:rPr>
            </w:pPr>
            <w:r>
              <w:rPr>
                <w:rFonts w:ascii="宋体" w:hAnsi="宋体"/>
                <w:color w:val="auto"/>
                <w:kern w:val="0"/>
                <w:szCs w:val="21"/>
                <w:highlight w:val="none"/>
              </w:rPr>
              <w:t>7.3.1</w:t>
            </w:r>
          </w:p>
        </w:tc>
        <w:tc>
          <w:tcPr>
            <w:tcW w:w="1610" w:type="dxa"/>
            <w:vAlign w:val="center"/>
          </w:tcPr>
          <w:p w14:paraId="0BA89537">
            <w:pPr>
              <w:snapToGrid w:val="0"/>
              <w:spacing w:line="400" w:lineRule="exact"/>
              <w:jc w:val="center"/>
              <w:rPr>
                <w:rFonts w:ascii="宋体" w:hAnsi="宋体"/>
                <w:color w:val="auto"/>
                <w:kern w:val="0"/>
                <w:szCs w:val="21"/>
                <w:highlight w:val="none"/>
              </w:rPr>
            </w:pPr>
            <w:r>
              <w:rPr>
                <w:rFonts w:ascii="宋体" w:hAnsi="宋体"/>
                <w:color w:val="auto"/>
                <w:kern w:val="0"/>
                <w:szCs w:val="21"/>
                <w:highlight w:val="none"/>
              </w:rPr>
              <w:t>履约担保</w:t>
            </w:r>
          </w:p>
        </w:tc>
        <w:tc>
          <w:tcPr>
            <w:tcW w:w="6737" w:type="dxa"/>
            <w:vAlign w:val="center"/>
          </w:tcPr>
          <w:p w14:paraId="2F826C23">
            <w:pPr>
              <w:snapToGrid w:val="0"/>
              <w:spacing w:line="400" w:lineRule="exact"/>
              <w:ind w:firstLine="420" w:firstLineChars="200"/>
              <w:rPr>
                <w:color w:val="auto"/>
                <w:highlight w:val="none"/>
              </w:rPr>
            </w:pPr>
            <w:r>
              <w:rPr>
                <w:rFonts w:hint="eastAsia"/>
                <w:color w:val="auto"/>
                <w:highlight w:val="none"/>
              </w:rPr>
              <w:t>1、中标人是否提供履约担保：提供。</w:t>
            </w:r>
          </w:p>
          <w:p w14:paraId="1E4AFF93">
            <w:pPr>
              <w:snapToGrid w:val="0"/>
              <w:spacing w:line="400" w:lineRule="exact"/>
              <w:ind w:firstLine="420" w:firstLineChars="200"/>
              <w:rPr>
                <w:color w:val="auto"/>
                <w:highlight w:val="none"/>
              </w:rPr>
            </w:pPr>
            <w:r>
              <w:rPr>
                <w:rFonts w:hint="eastAsia"/>
                <w:color w:val="auto"/>
                <w:highlight w:val="none"/>
              </w:rPr>
              <w:t>2、中标人提供履约担保的形式、金额及期限：</w:t>
            </w:r>
          </w:p>
          <w:p w14:paraId="402C47AF">
            <w:pPr>
              <w:snapToGrid w:val="0"/>
              <w:spacing w:line="400" w:lineRule="exact"/>
              <w:ind w:firstLine="420" w:firstLineChars="200"/>
              <w:rPr>
                <w:rFonts w:hint="eastAsia" w:ascii="宋体" w:hAnsi="宋体"/>
                <w:color w:val="auto"/>
                <w:szCs w:val="21"/>
                <w:highlight w:val="none"/>
                <w:lang w:val="en-US" w:eastAsia="zh-CN"/>
              </w:rPr>
            </w:pPr>
            <w:r>
              <w:rPr>
                <w:rFonts w:hint="eastAsia"/>
                <w:color w:val="auto"/>
                <w:highlight w:val="none"/>
              </w:rPr>
              <w:t>（1）</w:t>
            </w:r>
            <w:r>
              <w:rPr>
                <w:rFonts w:hint="eastAsia" w:ascii="宋体" w:hAnsi="宋体"/>
                <w:color w:val="auto"/>
                <w:kern w:val="0"/>
                <w:szCs w:val="21"/>
                <w:highlight w:val="none"/>
              </w:rPr>
              <w:t>履约担保的形式：现金或</w:t>
            </w:r>
            <w:r>
              <w:rPr>
                <w:rFonts w:hint="eastAsia" w:ascii="宋体" w:hAnsi="宋体"/>
                <w:color w:val="auto"/>
                <w:kern w:val="0"/>
                <w:szCs w:val="21"/>
                <w:highlight w:val="none"/>
                <w:lang w:eastAsia="zh-CN"/>
              </w:rPr>
              <w:t>履约</w:t>
            </w:r>
            <w:r>
              <w:rPr>
                <w:rFonts w:hint="eastAsia" w:ascii="宋体" w:hAnsi="宋体"/>
                <w:color w:val="auto"/>
                <w:kern w:val="0"/>
                <w:szCs w:val="21"/>
                <w:highlight w:val="none"/>
              </w:rPr>
              <w:t>保函或现金</w:t>
            </w:r>
            <w:r>
              <w:rPr>
                <w:rFonts w:ascii="宋体" w:hAnsi="宋体"/>
                <w:color w:val="auto"/>
                <w:kern w:val="0"/>
                <w:szCs w:val="21"/>
                <w:highlight w:val="none"/>
              </w:rPr>
              <w:t>+</w:t>
            </w:r>
            <w:r>
              <w:rPr>
                <w:rFonts w:hint="eastAsia" w:ascii="宋体" w:hAnsi="宋体"/>
                <w:color w:val="auto"/>
                <w:kern w:val="0"/>
                <w:szCs w:val="21"/>
                <w:highlight w:val="none"/>
                <w:lang w:eastAsia="zh-CN"/>
              </w:rPr>
              <w:t>履约</w:t>
            </w:r>
            <w:r>
              <w:rPr>
                <w:rFonts w:hint="eastAsia" w:ascii="宋体" w:hAnsi="宋体"/>
                <w:color w:val="auto"/>
                <w:kern w:val="0"/>
                <w:szCs w:val="21"/>
                <w:highlight w:val="none"/>
              </w:rPr>
              <w:t>保函的组合</w:t>
            </w:r>
            <w:r>
              <w:rPr>
                <w:rFonts w:hint="eastAsia" w:ascii="宋体" w:hAnsi="宋体"/>
                <w:color w:val="auto"/>
                <w:kern w:val="0"/>
                <w:szCs w:val="21"/>
                <w:highlight w:val="none"/>
                <w:lang w:eastAsia="zh-CN"/>
              </w:rPr>
              <w:t>，履约</w:t>
            </w:r>
            <w:r>
              <w:rPr>
                <w:rFonts w:hint="eastAsia" w:ascii="宋体" w:hAnsi="宋体"/>
                <w:color w:val="auto"/>
                <w:kern w:val="0"/>
                <w:szCs w:val="21"/>
                <w:highlight w:val="none"/>
              </w:rPr>
              <w:t>保函包括银行保函、保证保险和担保保函</w:t>
            </w:r>
            <w:r>
              <w:rPr>
                <w:rFonts w:hint="eastAsia" w:ascii="宋体" w:hAnsi="宋体"/>
                <w:color w:val="auto"/>
                <w:kern w:val="0"/>
                <w:szCs w:val="21"/>
                <w:highlight w:val="none"/>
                <w:lang w:eastAsia="zh-CN"/>
              </w:rPr>
              <w:t>，</w:t>
            </w:r>
            <w:r>
              <w:rPr>
                <w:rFonts w:hint="eastAsia" w:ascii="宋体" w:hAnsi="宋体"/>
                <w:color w:val="auto"/>
                <w:kern w:val="0"/>
                <w:szCs w:val="21"/>
                <w:highlight w:val="none"/>
                <w:lang w:val="en-US" w:eastAsia="zh-CN"/>
              </w:rPr>
              <w:t>其示范文本详见第四章合同条款及格式附件</w:t>
            </w:r>
            <w:r>
              <w:rPr>
                <w:rFonts w:hint="eastAsia" w:ascii="宋体" w:hAnsi="宋体"/>
                <w:color w:val="auto"/>
                <w:kern w:val="0"/>
                <w:szCs w:val="21"/>
                <w:highlight w:val="none"/>
                <w:lang w:eastAsia="zh-CN"/>
              </w:rPr>
              <w:t>。</w:t>
            </w:r>
            <w:r>
              <w:rPr>
                <w:rFonts w:hint="eastAsia" w:ascii="宋体" w:hAnsi="宋体"/>
                <w:color w:val="auto"/>
                <w:kern w:val="0"/>
                <w:szCs w:val="21"/>
                <w:highlight w:val="none"/>
                <w:lang w:val="en-US" w:eastAsia="zh-CN"/>
              </w:rPr>
              <w:t>中标人提交的履约保函应</w:t>
            </w:r>
            <w:r>
              <w:rPr>
                <w:rFonts w:hint="eastAsia" w:ascii="宋体" w:hAnsi="宋体"/>
                <w:color w:val="auto"/>
                <w:kern w:val="0"/>
                <w:szCs w:val="21"/>
                <w:highlight w:val="none"/>
              </w:rPr>
              <w:t>严格执行</w:t>
            </w:r>
            <w:r>
              <w:rPr>
                <w:rFonts w:hint="eastAsia" w:ascii="宋体" w:hAnsi="宋体"/>
                <w:color w:val="auto"/>
                <w:kern w:val="0"/>
                <w:szCs w:val="21"/>
                <w:highlight w:val="none"/>
                <w:lang w:val="en-US" w:eastAsia="zh-CN"/>
              </w:rPr>
              <w:t>其</w:t>
            </w:r>
            <w:r>
              <w:rPr>
                <w:rFonts w:hint="eastAsia" w:ascii="宋体" w:hAnsi="宋体"/>
                <w:color w:val="auto"/>
                <w:kern w:val="0"/>
                <w:szCs w:val="21"/>
                <w:highlight w:val="none"/>
              </w:rPr>
              <w:t>示范文本，不得对示范文本中的实质性内容进行修改</w:t>
            </w:r>
            <w:r>
              <w:rPr>
                <w:rFonts w:hint="eastAsia" w:ascii="宋体" w:hAnsi="宋体"/>
                <w:color w:val="auto"/>
                <w:szCs w:val="21"/>
                <w:highlight w:val="none"/>
                <w:lang w:val="en-US" w:eastAsia="zh-CN"/>
              </w:rPr>
              <w:t>。</w:t>
            </w:r>
          </w:p>
          <w:p w14:paraId="79F17233">
            <w:pPr>
              <w:snapToGrid w:val="0"/>
              <w:spacing w:line="400" w:lineRule="exact"/>
              <w:ind w:firstLine="420" w:firstLineChars="200"/>
              <w:rPr>
                <w:color w:val="auto"/>
                <w:highlight w:val="none"/>
              </w:rPr>
            </w:pPr>
            <w:r>
              <w:rPr>
                <w:rFonts w:hint="eastAsia" w:ascii="宋体" w:hAnsi="宋体"/>
                <w:color w:val="auto"/>
                <w:kern w:val="0"/>
                <w:szCs w:val="21"/>
                <w:highlight w:val="none"/>
                <w:lang w:val="en-US" w:eastAsia="zh-CN"/>
              </w:rPr>
              <w:t>（2）具体要求：履约保函</w:t>
            </w:r>
            <w:r>
              <w:rPr>
                <w:rFonts w:hint="eastAsia" w:ascii="宋体" w:hAnsi="宋体"/>
                <w:color w:val="auto"/>
                <w:kern w:val="0"/>
                <w:szCs w:val="21"/>
                <w:highlight w:val="none"/>
              </w:rPr>
              <w:t>的开立人应当是具有相应资格的银行、保险机构、融资担保公司，其信用资质、履约能力、担保能力、赔付流程、安全保密等应符合</w:t>
            </w:r>
            <w:r>
              <w:rPr>
                <w:rFonts w:hint="eastAsia" w:ascii="宋体" w:hAnsi="宋体"/>
                <w:color w:val="auto"/>
                <w:kern w:val="0"/>
                <w:szCs w:val="21"/>
                <w:highlight w:val="none"/>
                <w:lang w:eastAsia="zh-CN"/>
              </w:rPr>
              <w:t>履约</w:t>
            </w:r>
            <w:r>
              <w:rPr>
                <w:rFonts w:hint="eastAsia" w:ascii="宋体" w:hAnsi="宋体"/>
                <w:color w:val="auto"/>
                <w:kern w:val="0"/>
                <w:szCs w:val="21"/>
                <w:highlight w:val="none"/>
              </w:rPr>
              <w:t>保函业务条件</w:t>
            </w:r>
            <w:r>
              <w:rPr>
                <w:rFonts w:hint="eastAsia" w:ascii="宋体" w:hAnsi="宋体"/>
                <w:color w:val="auto"/>
                <w:kern w:val="0"/>
                <w:szCs w:val="21"/>
                <w:highlight w:val="none"/>
                <w:lang w:eastAsia="zh-CN"/>
              </w:rPr>
              <w:t>。</w:t>
            </w:r>
            <w:r>
              <w:rPr>
                <w:rFonts w:hint="eastAsia" w:ascii="宋体" w:hAnsi="宋体"/>
                <w:color w:val="auto"/>
                <w:kern w:val="0"/>
                <w:szCs w:val="21"/>
                <w:highlight w:val="none"/>
                <w:lang w:val="en-US" w:eastAsia="zh-CN"/>
              </w:rPr>
              <w:t>履约保函</w:t>
            </w:r>
            <w:r>
              <w:rPr>
                <w:rFonts w:hint="eastAsia" w:ascii="宋体" w:hAnsi="宋体"/>
                <w:color w:val="auto"/>
                <w:kern w:val="0"/>
                <w:szCs w:val="21"/>
                <w:highlight w:val="none"/>
                <w:lang w:eastAsia="zh-CN"/>
              </w:rPr>
              <w:t>应合法合规，符合招投标行政监督部门、行业主管部门和金融监管部门的相关规定，满足招标文件约定要求。</w:t>
            </w:r>
            <w:r>
              <w:rPr>
                <w:rFonts w:hint="eastAsia" w:ascii="宋体" w:hAnsi="宋体"/>
                <w:color w:val="auto"/>
                <w:kern w:val="0"/>
                <w:szCs w:val="21"/>
                <w:highlight w:val="none"/>
                <w:lang w:val="en-US" w:eastAsia="zh-CN"/>
              </w:rPr>
              <w:t>中标人</w:t>
            </w:r>
            <w:r>
              <w:rPr>
                <w:rFonts w:hint="eastAsia" w:ascii="宋体" w:hAnsi="宋体"/>
                <w:color w:val="auto"/>
                <w:kern w:val="0"/>
                <w:szCs w:val="21"/>
                <w:highlight w:val="none"/>
              </w:rPr>
              <w:t>应选择在渝依法设立总部或者设有分支机构的金融机构开具</w:t>
            </w:r>
            <w:r>
              <w:rPr>
                <w:rFonts w:hint="eastAsia" w:ascii="宋体" w:hAnsi="宋体"/>
                <w:color w:val="auto"/>
                <w:kern w:val="0"/>
                <w:szCs w:val="21"/>
                <w:highlight w:val="none"/>
                <w:lang w:val="en-US" w:eastAsia="zh-CN"/>
              </w:rPr>
              <w:t>履约保函（包括纸质保函或电子保函）</w:t>
            </w:r>
            <w:r>
              <w:rPr>
                <w:rFonts w:hint="eastAsia" w:ascii="宋体" w:hAnsi="宋体"/>
                <w:color w:val="auto"/>
                <w:kern w:val="0"/>
                <w:szCs w:val="21"/>
                <w:highlight w:val="none"/>
                <w:lang w:eastAsia="zh-CN"/>
              </w:rPr>
              <w:t>。</w:t>
            </w:r>
            <w:r>
              <w:rPr>
                <w:rFonts w:hint="eastAsia" w:ascii="宋体" w:hAnsi="宋体"/>
                <w:color w:val="auto"/>
                <w:kern w:val="0"/>
                <w:szCs w:val="21"/>
                <w:highlight w:val="none"/>
                <w:lang w:val="en-US" w:eastAsia="zh-CN"/>
              </w:rPr>
              <w:t>履约保函为纸质保函的，纸质保函应注明在</w:t>
            </w:r>
            <w:r>
              <w:rPr>
                <w:rFonts w:hint="eastAsia" w:ascii="宋体" w:hAnsi="宋体"/>
                <w:color w:val="auto"/>
                <w:kern w:val="0"/>
                <w:szCs w:val="21"/>
                <w:highlight w:val="none"/>
              </w:rPr>
              <w:t>重庆市辖区范围内的核验地址和核验方式，并确保该纸质保函能在开立人在渝的总部或者分支机构进行核验</w:t>
            </w:r>
            <w:r>
              <w:rPr>
                <w:rFonts w:hint="eastAsia" w:ascii="宋体" w:hAnsi="宋体"/>
                <w:color w:val="auto"/>
                <w:kern w:val="0"/>
                <w:szCs w:val="21"/>
                <w:highlight w:val="none"/>
                <w:lang w:eastAsia="zh-CN"/>
              </w:rPr>
              <w:t>。</w:t>
            </w:r>
            <w:r>
              <w:rPr>
                <w:rFonts w:hint="eastAsia" w:ascii="宋体" w:hAnsi="宋体"/>
                <w:color w:val="auto"/>
                <w:kern w:val="0"/>
                <w:szCs w:val="21"/>
                <w:highlight w:val="none"/>
                <w:lang w:val="en-US" w:eastAsia="zh-CN"/>
              </w:rPr>
              <w:t>中标人对所提交的履约保函的真实性、合法性、有效性负责。</w:t>
            </w:r>
          </w:p>
          <w:p w14:paraId="0977AB30">
            <w:pPr>
              <w:snapToGrid w:val="0"/>
              <w:spacing w:line="400" w:lineRule="exact"/>
              <w:ind w:firstLine="420" w:firstLineChars="200"/>
              <w:rPr>
                <w:color w:val="auto"/>
                <w:highlight w:val="none"/>
              </w:rPr>
            </w:pPr>
            <w:r>
              <w:rPr>
                <w:rFonts w:hint="eastAsia"/>
                <w:color w:val="auto"/>
                <w:highlight w:val="none"/>
              </w:rPr>
              <w:t>（</w:t>
            </w:r>
            <w:r>
              <w:rPr>
                <w:rFonts w:hint="eastAsia"/>
                <w:color w:val="auto"/>
                <w:highlight w:val="none"/>
                <w:lang w:val="en-US" w:eastAsia="zh-CN"/>
              </w:rPr>
              <w:t>3</w:t>
            </w:r>
            <w:r>
              <w:rPr>
                <w:rFonts w:hint="eastAsia"/>
                <w:color w:val="auto"/>
                <w:highlight w:val="none"/>
              </w:rPr>
              <w:t>）履约担保的金额：中标价款的10% ；</w:t>
            </w:r>
          </w:p>
          <w:p w14:paraId="5FFE2BAB">
            <w:pPr>
              <w:snapToGrid w:val="0"/>
              <w:spacing w:line="400" w:lineRule="exact"/>
              <w:ind w:firstLine="420" w:firstLineChars="200"/>
              <w:rPr>
                <w:color w:val="auto"/>
                <w:highlight w:val="none"/>
              </w:rPr>
            </w:pPr>
            <w:r>
              <w:rPr>
                <w:rFonts w:hint="eastAsia"/>
                <w:color w:val="auto"/>
                <w:highlight w:val="none"/>
              </w:rPr>
              <w:t>（</w:t>
            </w:r>
            <w:r>
              <w:rPr>
                <w:rFonts w:hint="eastAsia"/>
                <w:color w:val="auto"/>
                <w:highlight w:val="none"/>
                <w:lang w:val="en-US" w:eastAsia="zh-CN"/>
              </w:rPr>
              <w:t>4</w:t>
            </w:r>
            <w:r>
              <w:rPr>
                <w:rFonts w:hint="eastAsia"/>
                <w:color w:val="auto"/>
                <w:highlight w:val="none"/>
              </w:rPr>
              <w:t>）履约担保的提交时间：自中标候选人公示期结束后</w:t>
            </w:r>
            <w:r>
              <w:rPr>
                <w:rFonts w:hint="eastAsia"/>
                <w:color w:val="auto"/>
                <w:highlight w:val="none"/>
                <w:u w:val="single"/>
              </w:rPr>
              <w:t xml:space="preserve"> 10 </w:t>
            </w:r>
            <w:r>
              <w:rPr>
                <w:rFonts w:hint="eastAsia"/>
                <w:color w:val="auto"/>
                <w:highlight w:val="none"/>
              </w:rPr>
              <w:t>个工作日内，承包人按担保金额向发包人提交履约担保。</w:t>
            </w:r>
          </w:p>
          <w:p w14:paraId="30EDCC82">
            <w:pPr>
              <w:snapToGrid w:val="0"/>
              <w:spacing w:line="400" w:lineRule="exact"/>
              <w:ind w:firstLine="420" w:firstLineChars="200"/>
              <w:rPr>
                <w:color w:val="auto"/>
                <w:highlight w:val="none"/>
              </w:rPr>
            </w:pPr>
            <w:r>
              <w:rPr>
                <w:rFonts w:hint="eastAsia"/>
                <w:color w:val="auto"/>
                <w:highlight w:val="none"/>
              </w:rPr>
              <w:t>（</w:t>
            </w:r>
            <w:r>
              <w:rPr>
                <w:rFonts w:hint="eastAsia"/>
                <w:color w:val="auto"/>
                <w:highlight w:val="none"/>
                <w:lang w:val="en-US" w:eastAsia="zh-CN"/>
              </w:rPr>
              <w:t>5</w:t>
            </w:r>
            <w:r>
              <w:rPr>
                <w:rFonts w:hint="eastAsia"/>
                <w:color w:val="auto"/>
                <w:highlight w:val="none"/>
              </w:rPr>
              <w:t>）履约担保的期限：</w:t>
            </w:r>
            <w:bookmarkStart w:id="49" w:name="OLE_LINK6"/>
            <w:bookmarkStart w:id="50" w:name="OLE_LINK7"/>
            <w:r>
              <w:rPr>
                <w:rFonts w:hint="eastAsia"/>
                <w:color w:val="auto"/>
                <w:highlight w:val="none"/>
              </w:rPr>
              <w:t>自提交履约担保之日起至竣工验收合格之日止。</w:t>
            </w:r>
          </w:p>
          <w:bookmarkEnd w:id="49"/>
          <w:bookmarkEnd w:id="50"/>
          <w:p w14:paraId="3D4F6856">
            <w:pPr>
              <w:snapToGrid w:val="0"/>
              <w:spacing w:after="48" w:afterLines="20" w:line="400" w:lineRule="exact"/>
              <w:ind w:firstLine="420" w:firstLineChars="200"/>
              <w:rPr>
                <w:color w:val="auto"/>
                <w:highlight w:val="none"/>
              </w:rPr>
            </w:pPr>
            <w:r>
              <w:rPr>
                <w:rFonts w:hint="eastAsia"/>
                <w:color w:val="auto"/>
                <w:highlight w:val="none"/>
              </w:rPr>
              <w:t>（</w:t>
            </w:r>
            <w:r>
              <w:rPr>
                <w:rFonts w:hint="eastAsia"/>
                <w:color w:val="auto"/>
                <w:highlight w:val="none"/>
                <w:lang w:val="en-US" w:eastAsia="zh-CN"/>
              </w:rPr>
              <w:t>6</w:t>
            </w:r>
            <w:r>
              <w:rPr>
                <w:rFonts w:hint="eastAsia"/>
                <w:color w:val="auto"/>
                <w:highlight w:val="none"/>
              </w:rPr>
              <w:t>）履约担保的退还时间：</w:t>
            </w:r>
            <w:r>
              <w:rPr>
                <w:rFonts w:hint="eastAsia"/>
                <w:color w:val="auto"/>
                <w:highlight w:val="none"/>
                <w:lang w:val="en-US" w:eastAsia="zh-CN"/>
              </w:rPr>
              <w:t>采用现金担保的，工程完工后（无息）退还。采用履约保函的，工程完工后无息解除担保责任。</w:t>
            </w:r>
          </w:p>
        </w:tc>
      </w:tr>
      <w:tr w14:paraId="333ABAD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22" w:hRule="atLeast"/>
          <w:jc w:val="center"/>
        </w:trPr>
        <w:tc>
          <w:tcPr>
            <w:tcW w:w="1221" w:type="dxa"/>
            <w:vAlign w:val="center"/>
          </w:tcPr>
          <w:p w14:paraId="771C4A80">
            <w:pPr>
              <w:snapToGrid w:val="0"/>
              <w:spacing w:line="400" w:lineRule="exact"/>
              <w:jc w:val="center"/>
              <w:rPr>
                <w:rFonts w:ascii="宋体" w:hAnsi="宋体"/>
                <w:color w:val="auto"/>
                <w:kern w:val="0"/>
                <w:szCs w:val="21"/>
                <w:highlight w:val="none"/>
              </w:rPr>
            </w:pPr>
            <w:r>
              <w:rPr>
                <w:rFonts w:ascii="宋体" w:hAnsi="宋体"/>
                <w:color w:val="auto"/>
                <w:kern w:val="0"/>
                <w:szCs w:val="21"/>
                <w:highlight w:val="none"/>
              </w:rPr>
              <w:t>8.1</w:t>
            </w:r>
          </w:p>
        </w:tc>
        <w:tc>
          <w:tcPr>
            <w:tcW w:w="1610" w:type="dxa"/>
            <w:vAlign w:val="center"/>
          </w:tcPr>
          <w:p w14:paraId="342B2E00">
            <w:pPr>
              <w:snapToGrid w:val="0"/>
              <w:spacing w:line="400" w:lineRule="exact"/>
              <w:jc w:val="center"/>
              <w:rPr>
                <w:rFonts w:ascii="宋体" w:hAnsi="宋体"/>
                <w:color w:val="auto"/>
                <w:kern w:val="0"/>
                <w:szCs w:val="21"/>
                <w:highlight w:val="none"/>
              </w:rPr>
            </w:pPr>
            <w:r>
              <w:rPr>
                <w:rFonts w:ascii="宋体" w:hAnsi="宋体"/>
                <w:color w:val="auto"/>
                <w:kern w:val="0"/>
                <w:szCs w:val="21"/>
                <w:highlight w:val="none"/>
              </w:rPr>
              <w:t>重新招标</w:t>
            </w:r>
          </w:p>
        </w:tc>
        <w:tc>
          <w:tcPr>
            <w:tcW w:w="6737" w:type="dxa"/>
            <w:vAlign w:val="center"/>
          </w:tcPr>
          <w:p w14:paraId="6341900D">
            <w:pPr>
              <w:snapToGrid w:val="0"/>
              <w:spacing w:line="400" w:lineRule="exact"/>
              <w:ind w:firstLine="420" w:firstLineChars="200"/>
              <w:rPr>
                <w:rFonts w:ascii="宋体" w:hAnsi="宋体"/>
                <w:color w:val="auto"/>
                <w:kern w:val="0"/>
                <w:szCs w:val="21"/>
                <w:highlight w:val="none"/>
              </w:rPr>
            </w:pPr>
            <w:r>
              <w:rPr>
                <w:rFonts w:ascii="宋体" w:hAnsi="宋体"/>
                <w:color w:val="auto"/>
                <w:kern w:val="0"/>
                <w:szCs w:val="21"/>
                <w:highlight w:val="none"/>
              </w:rPr>
              <w:t>1.按</w:t>
            </w:r>
            <w:r>
              <w:rPr>
                <w:rFonts w:hint="eastAsia" w:ascii="宋体" w:hAnsi="宋体"/>
                <w:color w:val="auto"/>
                <w:kern w:val="0"/>
                <w:szCs w:val="21"/>
                <w:highlight w:val="none"/>
              </w:rPr>
              <w:t>竞选</w:t>
            </w:r>
            <w:r>
              <w:rPr>
                <w:rFonts w:ascii="宋体" w:hAnsi="宋体"/>
                <w:color w:val="auto"/>
                <w:kern w:val="0"/>
                <w:szCs w:val="21"/>
                <w:highlight w:val="none"/>
              </w:rPr>
              <w:t>人须知第8.1（1）执行；</w:t>
            </w:r>
          </w:p>
          <w:p w14:paraId="77DC6A41">
            <w:pPr>
              <w:snapToGrid w:val="0"/>
              <w:spacing w:line="400" w:lineRule="exact"/>
              <w:ind w:firstLine="420" w:firstLineChars="200"/>
              <w:rPr>
                <w:rFonts w:ascii="宋体" w:hAnsi="宋体"/>
                <w:color w:val="auto"/>
                <w:kern w:val="0"/>
                <w:szCs w:val="21"/>
                <w:highlight w:val="none"/>
              </w:rPr>
            </w:pPr>
            <w:r>
              <w:rPr>
                <w:rFonts w:ascii="宋体" w:hAnsi="宋体"/>
                <w:color w:val="auto"/>
                <w:kern w:val="0"/>
                <w:szCs w:val="21"/>
                <w:highlight w:val="none"/>
              </w:rPr>
              <w:t>2.按</w:t>
            </w:r>
            <w:r>
              <w:rPr>
                <w:rFonts w:hint="eastAsia" w:ascii="宋体" w:hAnsi="宋体"/>
                <w:color w:val="auto"/>
                <w:kern w:val="0"/>
                <w:szCs w:val="21"/>
                <w:highlight w:val="none"/>
              </w:rPr>
              <w:t>竞选</w:t>
            </w:r>
            <w:r>
              <w:rPr>
                <w:rFonts w:ascii="宋体" w:hAnsi="宋体"/>
                <w:color w:val="auto"/>
                <w:kern w:val="0"/>
                <w:szCs w:val="21"/>
                <w:highlight w:val="none"/>
              </w:rPr>
              <w:t>人须知第8.1（2）执行；</w:t>
            </w:r>
          </w:p>
          <w:p w14:paraId="6BB89FA6">
            <w:pPr>
              <w:widowControl/>
              <w:spacing w:line="400" w:lineRule="exact"/>
              <w:ind w:firstLine="420" w:firstLineChars="200"/>
              <w:rPr>
                <w:rFonts w:ascii="宋体" w:hAnsi="宋体"/>
                <w:color w:val="auto"/>
                <w:kern w:val="0"/>
                <w:szCs w:val="21"/>
                <w:highlight w:val="none"/>
              </w:rPr>
            </w:pPr>
            <w:r>
              <w:rPr>
                <w:rFonts w:ascii="宋体" w:hAnsi="宋体"/>
                <w:snapToGrid w:val="0"/>
                <w:color w:val="auto"/>
                <w:kern w:val="0"/>
                <w:szCs w:val="21"/>
                <w:highlight w:val="none"/>
              </w:rPr>
              <w:t>3.</w:t>
            </w:r>
            <w:r>
              <w:rPr>
                <w:rFonts w:ascii="宋体" w:hAnsi="宋体"/>
                <w:color w:val="auto"/>
                <w:kern w:val="0"/>
                <w:szCs w:val="21"/>
                <w:highlight w:val="none"/>
              </w:rPr>
              <w:t>按</w:t>
            </w:r>
            <w:r>
              <w:rPr>
                <w:rFonts w:hint="eastAsia" w:ascii="宋体" w:hAnsi="宋体"/>
                <w:color w:val="auto"/>
                <w:kern w:val="0"/>
                <w:szCs w:val="21"/>
                <w:highlight w:val="none"/>
              </w:rPr>
              <w:t>竞选</w:t>
            </w:r>
            <w:r>
              <w:rPr>
                <w:rFonts w:ascii="宋体" w:hAnsi="宋体"/>
                <w:color w:val="auto"/>
                <w:kern w:val="0"/>
                <w:szCs w:val="21"/>
                <w:highlight w:val="none"/>
              </w:rPr>
              <w:t>人须知第8.1（3）执行；</w:t>
            </w:r>
          </w:p>
        </w:tc>
      </w:tr>
      <w:tr w14:paraId="6BD191C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30" w:hRule="atLeast"/>
          <w:jc w:val="center"/>
        </w:trPr>
        <w:tc>
          <w:tcPr>
            <w:tcW w:w="1221" w:type="dxa"/>
            <w:vAlign w:val="center"/>
          </w:tcPr>
          <w:p w14:paraId="0997891C">
            <w:pPr>
              <w:snapToGrid w:val="0"/>
              <w:spacing w:line="400" w:lineRule="exact"/>
              <w:jc w:val="center"/>
              <w:rPr>
                <w:rFonts w:ascii="宋体" w:hAnsi="宋体"/>
                <w:color w:val="auto"/>
                <w:kern w:val="0"/>
                <w:szCs w:val="21"/>
                <w:highlight w:val="none"/>
              </w:rPr>
            </w:pPr>
            <w:r>
              <w:rPr>
                <w:rFonts w:ascii="宋体" w:hAnsi="宋体"/>
                <w:color w:val="auto"/>
                <w:kern w:val="0"/>
                <w:szCs w:val="21"/>
                <w:highlight w:val="none"/>
              </w:rPr>
              <w:t>8.2</w:t>
            </w:r>
          </w:p>
        </w:tc>
        <w:tc>
          <w:tcPr>
            <w:tcW w:w="1610" w:type="dxa"/>
            <w:vAlign w:val="center"/>
          </w:tcPr>
          <w:p w14:paraId="07B57AE1">
            <w:pPr>
              <w:snapToGrid w:val="0"/>
              <w:spacing w:line="400" w:lineRule="exact"/>
              <w:jc w:val="center"/>
              <w:rPr>
                <w:color w:val="auto"/>
                <w:highlight w:val="none"/>
              </w:rPr>
            </w:pPr>
            <w:bookmarkStart w:id="51" w:name="_Toc13210670"/>
            <w:bookmarkStart w:id="52" w:name="_Toc430530434"/>
            <w:bookmarkStart w:id="53" w:name="_Toc536628250"/>
            <w:bookmarkStart w:id="54" w:name="_Toc16930431"/>
            <w:bookmarkStart w:id="55" w:name="_Toc509218709"/>
            <w:r>
              <w:rPr>
                <w:rFonts w:ascii="宋体" w:hAnsi="宋体"/>
                <w:color w:val="auto"/>
                <w:kern w:val="0"/>
                <w:szCs w:val="21"/>
                <w:highlight w:val="none"/>
              </w:rPr>
              <w:t>二次招标和不再招标</w:t>
            </w:r>
            <w:bookmarkEnd w:id="51"/>
            <w:bookmarkEnd w:id="52"/>
            <w:bookmarkEnd w:id="53"/>
            <w:bookmarkEnd w:id="54"/>
            <w:bookmarkEnd w:id="55"/>
          </w:p>
        </w:tc>
        <w:tc>
          <w:tcPr>
            <w:tcW w:w="6737" w:type="dxa"/>
            <w:vAlign w:val="center"/>
          </w:tcPr>
          <w:p w14:paraId="07855871">
            <w:pPr>
              <w:autoSpaceDE w:val="0"/>
              <w:autoSpaceDN w:val="0"/>
              <w:adjustRightInd w:val="0"/>
              <w:snapToGrid w:val="0"/>
              <w:spacing w:after="48" w:afterLines="20" w:line="400" w:lineRule="exact"/>
              <w:ind w:firstLine="420" w:firstLineChars="200"/>
              <w:rPr>
                <w:rFonts w:ascii="宋体" w:hAnsi="宋体"/>
                <w:snapToGrid w:val="0"/>
                <w:color w:val="auto"/>
                <w:kern w:val="0"/>
                <w:szCs w:val="21"/>
                <w:highlight w:val="none"/>
              </w:rPr>
            </w:pPr>
            <w:r>
              <w:rPr>
                <w:rFonts w:hint="eastAsia" w:ascii="宋体" w:hAnsi="宋体"/>
                <w:snapToGrid w:val="0"/>
                <w:color w:val="auto"/>
                <w:kern w:val="0"/>
                <w:szCs w:val="21"/>
                <w:highlight w:val="none"/>
              </w:rPr>
              <w:t>重新招标的竞选人仍然少于三个的，按照招标投标法律法规规定的程序开标和评标。重新招标经评审有有效竞选人的，应当依法确定中标候选人；无有效竞选人的，可以不再进行招标，但是按照国家有关规定需要履行审批、核准、备案手续的依法必须进行招标的项目，应当报原项目投资主管部门审批、核准、备案</w:t>
            </w:r>
            <w:r>
              <w:rPr>
                <w:rFonts w:ascii="宋体" w:hAnsi="宋体"/>
                <w:snapToGrid w:val="0"/>
                <w:color w:val="auto"/>
                <w:kern w:val="0"/>
                <w:szCs w:val="21"/>
                <w:highlight w:val="none"/>
              </w:rPr>
              <w:t>。</w:t>
            </w:r>
          </w:p>
        </w:tc>
      </w:tr>
      <w:tr w14:paraId="23A8771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1221" w:type="dxa"/>
            <w:vAlign w:val="center"/>
          </w:tcPr>
          <w:p w14:paraId="66C363EE">
            <w:pPr>
              <w:snapToGrid w:val="0"/>
              <w:spacing w:line="400" w:lineRule="exact"/>
              <w:jc w:val="center"/>
              <w:rPr>
                <w:rFonts w:ascii="宋体" w:hAnsi="宋体"/>
                <w:color w:val="auto"/>
                <w:kern w:val="0"/>
                <w:szCs w:val="21"/>
                <w:highlight w:val="none"/>
              </w:rPr>
            </w:pPr>
            <w:r>
              <w:rPr>
                <w:rFonts w:hint="eastAsia" w:ascii="宋体" w:hAnsi="宋体"/>
                <w:color w:val="auto"/>
                <w:kern w:val="0"/>
                <w:szCs w:val="21"/>
                <w:highlight w:val="none"/>
              </w:rPr>
              <w:t>9</w:t>
            </w:r>
          </w:p>
        </w:tc>
        <w:tc>
          <w:tcPr>
            <w:tcW w:w="8347" w:type="dxa"/>
            <w:gridSpan w:val="2"/>
            <w:vAlign w:val="center"/>
          </w:tcPr>
          <w:p w14:paraId="1121B403">
            <w:pPr>
              <w:snapToGrid w:val="0"/>
              <w:spacing w:line="400" w:lineRule="exact"/>
              <w:jc w:val="center"/>
              <w:rPr>
                <w:rFonts w:ascii="宋体" w:hAnsi="宋体"/>
                <w:color w:val="auto"/>
                <w:kern w:val="0"/>
                <w:szCs w:val="21"/>
                <w:highlight w:val="none"/>
              </w:rPr>
            </w:pPr>
            <w:r>
              <w:rPr>
                <w:rFonts w:ascii="宋体" w:hAnsi="宋体"/>
                <w:color w:val="auto"/>
                <w:kern w:val="0"/>
                <w:szCs w:val="21"/>
                <w:highlight w:val="none"/>
              </w:rPr>
              <w:t>需要补充的其他内容</w:t>
            </w:r>
          </w:p>
        </w:tc>
      </w:tr>
      <w:tr w14:paraId="3ACA70D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14" w:hRule="atLeast"/>
          <w:jc w:val="center"/>
        </w:trPr>
        <w:tc>
          <w:tcPr>
            <w:tcW w:w="1221" w:type="dxa"/>
            <w:vAlign w:val="center"/>
          </w:tcPr>
          <w:p w14:paraId="1CE76711">
            <w:pPr>
              <w:snapToGrid w:val="0"/>
              <w:spacing w:line="400" w:lineRule="exact"/>
              <w:jc w:val="center"/>
              <w:rPr>
                <w:rFonts w:ascii="宋体" w:hAnsi="宋体"/>
                <w:color w:val="auto"/>
                <w:kern w:val="0"/>
                <w:szCs w:val="21"/>
                <w:highlight w:val="none"/>
              </w:rPr>
            </w:pPr>
            <w:r>
              <w:rPr>
                <w:rFonts w:hint="eastAsia" w:ascii="宋体" w:hAnsi="宋体"/>
                <w:color w:val="auto"/>
                <w:kern w:val="0"/>
                <w:szCs w:val="21"/>
                <w:highlight w:val="none"/>
              </w:rPr>
              <w:t>9.1</w:t>
            </w:r>
          </w:p>
        </w:tc>
        <w:tc>
          <w:tcPr>
            <w:tcW w:w="1610" w:type="dxa"/>
            <w:vAlign w:val="center"/>
          </w:tcPr>
          <w:p w14:paraId="0525405F">
            <w:pPr>
              <w:snapToGrid w:val="0"/>
              <w:spacing w:line="400" w:lineRule="exact"/>
              <w:jc w:val="center"/>
              <w:rPr>
                <w:rFonts w:ascii="宋体" w:hAnsi="宋体"/>
                <w:color w:val="auto"/>
                <w:kern w:val="0"/>
                <w:szCs w:val="21"/>
                <w:highlight w:val="none"/>
              </w:rPr>
            </w:pPr>
            <w:r>
              <w:rPr>
                <w:rFonts w:hint="eastAsia" w:ascii="宋体" w:hAnsi="宋体"/>
                <w:color w:val="auto"/>
                <w:kern w:val="0"/>
                <w:szCs w:val="21"/>
                <w:highlight w:val="none"/>
              </w:rPr>
              <w:t>建筑</w:t>
            </w:r>
            <w:r>
              <w:rPr>
                <w:rFonts w:ascii="宋体" w:hAnsi="宋体"/>
                <w:color w:val="auto"/>
                <w:kern w:val="0"/>
                <w:szCs w:val="21"/>
                <w:highlight w:val="none"/>
              </w:rPr>
              <w:t>领域实施农民工工资专用账户相关</w:t>
            </w:r>
            <w:r>
              <w:rPr>
                <w:rFonts w:hint="eastAsia" w:ascii="宋体" w:hAnsi="宋体"/>
                <w:color w:val="auto"/>
                <w:kern w:val="0"/>
                <w:szCs w:val="21"/>
                <w:highlight w:val="none"/>
              </w:rPr>
              <w:t>要求</w:t>
            </w:r>
          </w:p>
        </w:tc>
        <w:tc>
          <w:tcPr>
            <w:tcW w:w="6737" w:type="dxa"/>
            <w:vAlign w:val="center"/>
          </w:tcPr>
          <w:p w14:paraId="2B04F74F">
            <w:pPr>
              <w:widowControl/>
              <w:spacing w:line="400" w:lineRule="exact"/>
              <w:ind w:firstLine="420" w:firstLineChars="200"/>
              <w:rPr>
                <w:rFonts w:ascii="宋体" w:hAnsi="宋体"/>
                <w:color w:val="auto"/>
                <w:kern w:val="0"/>
                <w:szCs w:val="21"/>
                <w:highlight w:val="none"/>
              </w:rPr>
            </w:pPr>
            <w:r>
              <w:rPr>
                <w:rFonts w:hint="eastAsia" w:ascii="宋体" w:hAnsi="宋体"/>
                <w:color w:val="auto"/>
                <w:kern w:val="0"/>
                <w:szCs w:val="21"/>
                <w:highlight w:val="none"/>
              </w:rPr>
              <w:t>本项目在</w:t>
            </w:r>
            <w:r>
              <w:rPr>
                <w:rFonts w:ascii="宋体" w:hAnsi="宋体"/>
                <w:color w:val="auto"/>
                <w:kern w:val="0"/>
                <w:szCs w:val="21"/>
                <w:highlight w:val="none"/>
              </w:rPr>
              <w:t>实施过程中</w:t>
            </w:r>
            <w:r>
              <w:rPr>
                <w:rFonts w:hint="eastAsia" w:ascii="宋体" w:hAnsi="宋体"/>
                <w:color w:val="auto"/>
                <w:kern w:val="0"/>
                <w:szCs w:val="21"/>
                <w:highlight w:val="none"/>
              </w:rPr>
              <w:t>，中标人</w:t>
            </w:r>
            <w:r>
              <w:rPr>
                <w:rFonts w:ascii="宋体" w:hAnsi="宋体"/>
                <w:color w:val="auto"/>
                <w:kern w:val="0"/>
                <w:szCs w:val="21"/>
                <w:highlight w:val="none"/>
              </w:rPr>
              <w:t>必须执行</w:t>
            </w:r>
            <w:r>
              <w:rPr>
                <w:rFonts w:hint="eastAsia" w:ascii="宋体" w:hAnsi="宋体"/>
                <w:color w:val="auto"/>
                <w:kern w:val="0"/>
                <w:szCs w:val="21"/>
                <w:highlight w:val="none"/>
              </w:rPr>
              <w:t>《保障农民工工资支付条例》（中华人民共和国国务院令第724号）、《重庆市人民政府办公厅关于全面治理拖欠农民工工资问题的实施意见》（渝府办发〔2016〕101号）、《重庆市</w:t>
            </w:r>
            <w:r>
              <w:rPr>
                <w:rFonts w:ascii="宋体" w:hAnsi="宋体"/>
                <w:color w:val="auto"/>
                <w:kern w:val="0"/>
                <w:szCs w:val="21"/>
                <w:highlight w:val="none"/>
              </w:rPr>
              <w:t>城乡建设</w:t>
            </w:r>
            <w:r>
              <w:rPr>
                <w:rFonts w:hint="eastAsia" w:ascii="宋体" w:hAnsi="宋体"/>
                <w:color w:val="auto"/>
                <w:kern w:val="0"/>
                <w:szCs w:val="21"/>
                <w:highlight w:val="none"/>
              </w:rPr>
              <w:t>委员会</w:t>
            </w:r>
            <w:r>
              <w:rPr>
                <w:rFonts w:ascii="宋体" w:hAnsi="宋体"/>
                <w:color w:val="auto"/>
                <w:kern w:val="0"/>
                <w:szCs w:val="21"/>
                <w:highlight w:val="none"/>
              </w:rPr>
              <w:t>、中国人民银行重庆营业管理部、中国银行业</w:t>
            </w:r>
            <w:r>
              <w:rPr>
                <w:rFonts w:hint="eastAsia" w:ascii="宋体" w:hAnsi="宋体"/>
                <w:color w:val="auto"/>
                <w:kern w:val="0"/>
                <w:szCs w:val="21"/>
                <w:highlight w:val="none"/>
              </w:rPr>
              <w:t>监督</w:t>
            </w:r>
            <w:r>
              <w:rPr>
                <w:rFonts w:ascii="宋体" w:hAnsi="宋体"/>
                <w:color w:val="auto"/>
                <w:kern w:val="0"/>
                <w:szCs w:val="21"/>
                <w:highlight w:val="none"/>
              </w:rPr>
              <w:t>管理委员会重庆监管局</w:t>
            </w:r>
            <w:r>
              <w:rPr>
                <w:rFonts w:hint="eastAsia" w:ascii="宋体" w:hAnsi="宋体"/>
                <w:color w:val="auto"/>
                <w:kern w:val="0"/>
                <w:szCs w:val="21"/>
                <w:highlight w:val="none"/>
              </w:rPr>
              <w:t>关于</w:t>
            </w:r>
            <w:r>
              <w:rPr>
                <w:rFonts w:ascii="宋体" w:hAnsi="宋体"/>
                <w:color w:val="auto"/>
                <w:kern w:val="0"/>
                <w:szCs w:val="21"/>
                <w:highlight w:val="none"/>
              </w:rPr>
              <w:t>建筑领域实施农民工工资专用账户管理及银行代发制度（</w:t>
            </w:r>
            <w:r>
              <w:rPr>
                <w:rFonts w:hint="eastAsia" w:ascii="宋体" w:hAnsi="宋体"/>
                <w:color w:val="auto"/>
                <w:kern w:val="0"/>
                <w:szCs w:val="21"/>
                <w:highlight w:val="none"/>
              </w:rPr>
              <w:t>试行</w:t>
            </w:r>
            <w:r>
              <w:rPr>
                <w:rFonts w:ascii="宋体" w:hAnsi="宋体"/>
                <w:color w:val="auto"/>
                <w:kern w:val="0"/>
                <w:szCs w:val="21"/>
                <w:highlight w:val="none"/>
              </w:rPr>
              <w:t>）</w:t>
            </w:r>
            <w:r>
              <w:rPr>
                <w:rFonts w:hint="eastAsia" w:ascii="宋体" w:hAnsi="宋体"/>
                <w:color w:val="auto"/>
                <w:kern w:val="0"/>
                <w:szCs w:val="21"/>
                <w:highlight w:val="none"/>
              </w:rPr>
              <w:t>的</w:t>
            </w:r>
            <w:r>
              <w:rPr>
                <w:rFonts w:ascii="宋体" w:hAnsi="宋体"/>
                <w:color w:val="auto"/>
                <w:kern w:val="0"/>
                <w:szCs w:val="21"/>
                <w:highlight w:val="none"/>
              </w:rPr>
              <w:t>通知</w:t>
            </w:r>
            <w:r>
              <w:rPr>
                <w:rFonts w:hint="eastAsia" w:ascii="宋体" w:hAnsi="宋体"/>
                <w:color w:val="auto"/>
                <w:kern w:val="0"/>
                <w:szCs w:val="21"/>
                <w:highlight w:val="none"/>
              </w:rPr>
              <w:t>》（渝</w:t>
            </w:r>
            <w:r>
              <w:rPr>
                <w:rFonts w:ascii="宋体" w:hAnsi="宋体"/>
                <w:color w:val="auto"/>
                <w:kern w:val="0"/>
                <w:szCs w:val="21"/>
                <w:highlight w:val="none"/>
              </w:rPr>
              <w:t>建发</w:t>
            </w:r>
            <w:r>
              <w:rPr>
                <w:rFonts w:hint="eastAsia" w:ascii="宋体" w:hAnsi="宋体"/>
                <w:color w:val="auto"/>
                <w:kern w:val="0"/>
                <w:szCs w:val="21"/>
                <w:highlight w:val="none"/>
              </w:rPr>
              <w:t>〔201</w:t>
            </w:r>
            <w:r>
              <w:rPr>
                <w:rFonts w:ascii="宋体" w:hAnsi="宋体"/>
                <w:color w:val="auto"/>
                <w:kern w:val="0"/>
                <w:szCs w:val="21"/>
                <w:highlight w:val="none"/>
              </w:rPr>
              <w:t>7</w:t>
            </w:r>
            <w:r>
              <w:rPr>
                <w:rFonts w:hint="eastAsia" w:ascii="宋体" w:hAnsi="宋体"/>
                <w:color w:val="auto"/>
                <w:kern w:val="0"/>
                <w:szCs w:val="21"/>
                <w:highlight w:val="none"/>
              </w:rPr>
              <w:t>〕13号）及《重庆市建设工程造价管理总站关于建筑领域农民工工资专户管理网络系统正式运行有关事宜的通知》，实行农民工工资专用账户管理及银行代发制度，填报相应的网络管理系统。</w:t>
            </w:r>
          </w:p>
          <w:p w14:paraId="6BAA70A0">
            <w:pPr>
              <w:widowControl/>
              <w:spacing w:line="400" w:lineRule="exact"/>
              <w:ind w:firstLine="420" w:firstLineChars="200"/>
              <w:rPr>
                <w:rFonts w:ascii="宋体" w:hAnsi="宋体"/>
                <w:color w:val="auto"/>
                <w:kern w:val="0"/>
                <w:szCs w:val="21"/>
                <w:highlight w:val="none"/>
              </w:rPr>
            </w:pPr>
            <w:r>
              <w:rPr>
                <w:rFonts w:hint="eastAsia" w:ascii="宋体" w:hAnsi="宋体"/>
                <w:color w:val="auto"/>
                <w:kern w:val="0"/>
                <w:szCs w:val="21"/>
                <w:highlight w:val="none"/>
              </w:rPr>
              <w:t>竞选人中标后，在与发包人签订的合同中，必须明确在我市的农民工工资专用账户信息、人工费（工资款）支付比例；在项目开工后，为农民工办理平安卡和工资卡，委托银行通过农民工工资专用账户直接将农民工工资发放至工资卡，并按照有关规定在“工资专户管理网络系统”中填报相关信息</w:t>
            </w:r>
            <w:r>
              <w:rPr>
                <w:rFonts w:ascii="宋体" w:hAnsi="宋体"/>
                <w:color w:val="auto"/>
                <w:kern w:val="0"/>
                <w:szCs w:val="21"/>
                <w:highlight w:val="none"/>
              </w:rPr>
              <w:t>。</w:t>
            </w:r>
          </w:p>
        </w:tc>
      </w:tr>
      <w:tr w14:paraId="2C638CA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14" w:hRule="atLeast"/>
          <w:jc w:val="center"/>
        </w:trPr>
        <w:tc>
          <w:tcPr>
            <w:tcW w:w="1221" w:type="dxa"/>
            <w:vAlign w:val="center"/>
          </w:tcPr>
          <w:p w14:paraId="09D686FE">
            <w:pPr>
              <w:snapToGrid w:val="0"/>
              <w:spacing w:line="400" w:lineRule="exact"/>
              <w:jc w:val="center"/>
              <w:rPr>
                <w:rFonts w:ascii="宋体" w:hAnsi="宋体"/>
                <w:color w:val="auto"/>
                <w:kern w:val="0"/>
                <w:szCs w:val="21"/>
                <w:highlight w:val="none"/>
              </w:rPr>
            </w:pPr>
            <w:r>
              <w:rPr>
                <w:rFonts w:hint="eastAsia" w:ascii="宋体" w:hAnsi="宋体"/>
                <w:color w:val="auto"/>
                <w:kern w:val="0"/>
                <w:szCs w:val="21"/>
                <w:highlight w:val="none"/>
              </w:rPr>
              <w:t>9.2</w:t>
            </w:r>
          </w:p>
        </w:tc>
        <w:tc>
          <w:tcPr>
            <w:tcW w:w="1610" w:type="dxa"/>
            <w:vAlign w:val="center"/>
          </w:tcPr>
          <w:p w14:paraId="3F2B736C">
            <w:pPr>
              <w:snapToGrid w:val="0"/>
              <w:spacing w:line="400" w:lineRule="exact"/>
              <w:jc w:val="center"/>
              <w:rPr>
                <w:rFonts w:ascii="宋体" w:hAnsi="宋体"/>
                <w:color w:val="auto"/>
                <w:kern w:val="0"/>
                <w:szCs w:val="21"/>
                <w:highlight w:val="none"/>
              </w:rPr>
            </w:pPr>
            <w:r>
              <w:rPr>
                <w:rFonts w:hint="eastAsia" w:ascii="宋体" w:hAnsi="宋体"/>
                <w:color w:val="auto"/>
                <w:kern w:val="0"/>
                <w:szCs w:val="21"/>
                <w:highlight w:val="none"/>
              </w:rPr>
              <w:t>关于对招标文件及竞选争议的解释</w:t>
            </w:r>
          </w:p>
        </w:tc>
        <w:tc>
          <w:tcPr>
            <w:tcW w:w="6737" w:type="dxa"/>
            <w:vAlign w:val="center"/>
          </w:tcPr>
          <w:p w14:paraId="53E4C2D3">
            <w:pPr>
              <w:autoSpaceDE w:val="0"/>
              <w:autoSpaceDN w:val="0"/>
              <w:adjustRightInd w:val="0"/>
              <w:snapToGrid w:val="0"/>
              <w:spacing w:line="400" w:lineRule="exact"/>
              <w:ind w:firstLine="420" w:firstLineChars="200"/>
              <w:rPr>
                <w:rFonts w:ascii="宋体" w:hAnsi="宋体"/>
                <w:color w:val="auto"/>
                <w:kern w:val="0"/>
                <w:szCs w:val="21"/>
                <w:highlight w:val="none"/>
              </w:rPr>
            </w:pPr>
            <w:r>
              <w:rPr>
                <w:rFonts w:hint="eastAsia" w:ascii="宋体" w:hAnsi="宋体"/>
                <w:color w:val="auto"/>
                <w:kern w:val="0"/>
                <w:szCs w:val="21"/>
                <w:highlight w:val="none"/>
              </w:rPr>
              <w:t>对资格预审文件或者招标文件的评标标准和方法，以及资格审查和否决投标条款理解有争议的，应当作出不利于比选人的解释，但违背国家利益、社会公共利益的除外。</w:t>
            </w:r>
          </w:p>
          <w:p w14:paraId="0372C14A">
            <w:pPr>
              <w:autoSpaceDE w:val="0"/>
              <w:autoSpaceDN w:val="0"/>
              <w:adjustRightInd w:val="0"/>
              <w:snapToGrid w:val="0"/>
              <w:spacing w:line="400" w:lineRule="exact"/>
              <w:ind w:firstLine="420" w:firstLineChars="200"/>
              <w:rPr>
                <w:rFonts w:ascii="宋体" w:hAnsi="宋体"/>
                <w:color w:val="auto"/>
                <w:kern w:val="0"/>
                <w:szCs w:val="21"/>
                <w:highlight w:val="none"/>
              </w:rPr>
            </w:pPr>
            <w:r>
              <w:rPr>
                <w:rFonts w:hint="eastAsia" w:ascii="宋体" w:hAnsi="宋体"/>
                <w:color w:val="auto"/>
                <w:kern w:val="0"/>
                <w:szCs w:val="21"/>
                <w:highlight w:val="none"/>
              </w:rPr>
              <w:t>对竞选文件理解有争议的，应当作出不利于提交该竞选文件的竞选人的解释。</w:t>
            </w:r>
          </w:p>
        </w:tc>
      </w:tr>
      <w:tr w14:paraId="609CF52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14" w:hRule="atLeast"/>
          <w:jc w:val="center"/>
        </w:trPr>
        <w:tc>
          <w:tcPr>
            <w:tcW w:w="1221" w:type="dxa"/>
            <w:shd w:val="clear" w:color="auto" w:fill="auto"/>
            <w:vAlign w:val="center"/>
          </w:tcPr>
          <w:p w14:paraId="0F5808B9">
            <w:pPr>
              <w:snapToGrid w:val="0"/>
              <w:spacing w:line="360" w:lineRule="auto"/>
              <w:ind w:firstLine="420" w:firstLineChars="200"/>
              <w:rPr>
                <w:rFonts w:ascii="宋体" w:hAnsi="宋体"/>
                <w:color w:val="auto"/>
                <w:kern w:val="0"/>
                <w:szCs w:val="21"/>
                <w:highlight w:val="none"/>
              </w:rPr>
            </w:pPr>
            <w:r>
              <w:rPr>
                <w:rFonts w:hint="eastAsia" w:ascii="宋体" w:hAnsi="宋体"/>
                <w:color w:val="auto"/>
                <w:kern w:val="0"/>
                <w:szCs w:val="21"/>
                <w:highlight w:val="none"/>
              </w:rPr>
              <w:t>9.3</w:t>
            </w:r>
          </w:p>
        </w:tc>
        <w:tc>
          <w:tcPr>
            <w:tcW w:w="1610" w:type="dxa"/>
            <w:shd w:val="clear" w:color="auto" w:fill="auto"/>
            <w:vAlign w:val="center"/>
          </w:tcPr>
          <w:p w14:paraId="39C47897">
            <w:pPr>
              <w:pStyle w:val="5"/>
              <w:snapToGrid w:val="0"/>
              <w:spacing w:line="400" w:lineRule="exact"/>
              <w:rPr>
                <w:rFonts w:ascii="宋体" w:hAnsi="宋体" w:eastAsia="宋体"/>
                <w:b w:val="0"/>
                <w:color w:val="auto"/>
                <w:kern w:val="2"/>
                <w:sz w:val="21"/>
                <w:szCs w:val="21"/>
                <w:highlight w:val="none"/>
              </w:rPr>
            </w:pPr>
            <w:r>
              <w:rPr>
                <w:rFonts w:hint="eastAsia" w:ascii="宋体" w:hAnsi="宋体" w:eastAsia="宋体"/>
                <w:b w:val="0"/>
                <w:color w:val="auto"/>
                <w:kern w:val="2"/>
                <w:sz w:val="21"/>
                <w:szCs w:val="21"/>
                <w:highlight w:val="none"/>
              </w:rPr>
              <w:t>异议、投诉处理</w:t>
            </w:r>
          </w:p>
        </w:tc>
        <w:tc>
          <w:tcPr>
            <w:tcW w:w="6737" w:type="dxa"/>
            <w:shd w:val="clear" w:color="auto" w:fill="auto"/>
            <w:vAlign w:val="center"/>
          </w:tcPr>
          <w:p w14:paraId="758D9246">
            <w:pPr>
              <w:snapToGrid w:val="0"/>
              <w:spacing w:line="360" w:lineRule="exact"/>
              <w:ind w:firstLine="420" w:firstLineChars="200"/>
              <w:rPr>
                <w:rFonts w:ascii="宋体" w:hAnsi="宋体"/>
                <w:snapToGrid w:val="0"/>
                <w:color w:val="auto"/>
                <w:kern w:val="0"/>
                <w:highlight w:val="none"/>
              </w:rPr>
            </w:pPr>
            <w:r>
              <w:rPr>
                <w:rFonts w:hint="eastAsia" w:ascii="宋体" w:hAnsi="宋体"/>
                <w:snapToGrid w:val="0"/>
                <w:color w:val="auto"/>
                <w:kern w:val="0"/>
                <w:highlight w:val="none"/>
              </w:rPr>
              <w:t>1. 投标人或者其他利害关系人就本项目的比选文件（含澄清修改）、开标情况、评标结果等事项提出异议或投诉的，应当先向招标人提出异议；招标人应当在规定时间内答复；对招标人的答复不满意，可向行政监督部门投诉。</w:t>
            </w:r>
          </w:p>
          <w:p w14:paraId="44DE3005">
            <w:pPr>
              <w:snapToGrid w:val="0"/>
              <w:spacing w:line="360" w:lineRule="exact"/>
              <w:ind w:firstLine="420" w:firstLineChars="200"/>
              <w:rPr>
                <w:rFonts w:ascii="宋体" w:hAnsi="宋体"/>
                <w:snapToGrid w:val="0"/>
                <w:color w:val="auto"/>
                <w:kern w:val="0"/>
                <w:highlight w:val="none"/>
              </w:rPr>
            </w:pPr>
            <w:r>
              <w:rPr>
                <w:rFonts w:hint="eastAsia" w:ascii="宋体" w:hAnsi="宋体"/>
                <w:snapToGrid w:val="0"/>
                <w:color w:val="auto"/>
                <w:kern w:val="0"/>
                <w:highlight w:val="none"/>
              </w:rPr>
              <w:t>提出异议或投诉时应当包括下列内容：</w:t>
            </w:r>
          </w:p>
          <w:p w14:paraId="310C9794">
            <w:pPr>
              <w:snapToGrid w:val="0"/>
              <w:spacing w:line="360" w:lineRule="exact"/>
              <w:ind w:firstLine="420" w:firstLineChars="200"/>
              <w:rPr>
                <w:rFonts w:ascii="宋体" w:hAnsi="宋体"/>
                <w:snapToGrid w:val="0"/>
                <w:color w:val="auto"/>
                <w:kern w:val="0"/>
                <w:highlight w:val="none"/>
              </w:rPr>
            </w:pPr>
            <w:r>
              <w:rPr>
                <w:rFonts w:hint="eastAsia" w:ascii="宋体" w:hAnsi="宋体"/>
                <w:snapToGrid w:val="0"/>
                <w:color w:val="auto"/>
                <w:kern w:val="0"/>
                <w:highlight w:val="none"/>
              </w:rPr>
              <w:t>（1）异议或投诉人的名称、地址及有效联系方式；</w:t>
            </w:r>
          </w:p>
          <w:p w14:paraId="49551379">
            <w:pPr>
              <w:snapToGrid w:val="0"/>
              <w:spacing w:line="360" w:lineRule="exact"/>
              <w:ind w:firstLine="420" w:firstLineChars="200"/>
              <w:rPr>
                <w:rFonts w:ascii="宋体" w:hAnsi="宋体"/>
                <w:snapToGrid w:val="0"/>
                <w:color w:val="auto"/>
                <w:kern w:val="0"/>
                <w:highlight w:val="none"/>
              </w:rPr>
            </w:pPr>
            <w:r>
              <w:rPr>
                <w:rFonts w:hint="eastAsia" w:ascii="宋体" w:hAnsi="宋体"/>
                <w:snapToGrid w:val="0"/>
                <w:color w:val="auto"/>
                <w:kern w:val="0"/>
                <w:highlight w:val="none"/>
              </w:rPr>
              <w:t>（2）被异议或投诉人的名称、地址及有效联系方式；</w:t>
            </w:r>
          </w:p>
          <w:p w14:paraId="2AA41177">
            <w:pPr>
              <w:snapToGrid w:val="0"/>
              <w:spacing w:line="360" w:lineRule="exact"/>
              <w:ind w:firstLine="420" w:firstLineChars="200"/>
              <w:rPr>
                <w:rFonts w:ascii="宋体" w:hAnsi="宋体"/>
                <w:snapToGrid w:val="0"/>
                <w:color w:val="auto"/>
                <w:kern w:val="0"/>
                <w:highlight w:val="none"/>
              </w:rPr>
            </w:pPr>
            <w:r>
              <w:rPr>
                <w:rFonts w:hint="eastAsia" w:ascii="宋体" w:hAnsi="宋体"/>
                <w:snapToGrid w:val="0"/>
                <w:color w:val="auto"/>
                <w:kern w:val="0"/>
                <w:highlight w:val="none"/>
              </w:rPr>
              <w:t>（3）异议或投诉事项的基本事实；</w:t>
            </w:r>
          </w:p>
          <w:p w14:paraId="616FA0CD">
            <w:pPr>
              <w:snapToGrid w:val="0"/>
              <w:spacing w:line="360" w:lineRule="exact"/>
              <w:ind w:firstLine="420" w:firstLineChars="200"/>
              <w:rPr>
                <w:rFonts w:ascii="宋体" w:hAnsi="宋体"/>
                <w:snapToGrid w:val="0"/>
                <w:color w:val="auto"/>
                <w:kern w:val="0"/>
                <w:highlight w:val="none"/>
              </w:rPr>
            </w:pPr>
            <w:r>
              <w:rPr>
                <w:rFonts w:hint="eastAsia" w:ascii="宋体" w:hAnsi="宋体"/>
                <w:snapToGrid w:val="0"/>
                <w:color w:val="auto"/>
                <w:kern w:val="0"/>
                <w:highlight w:val="none"/>
              </w:rPr>
              <w:t>（4）请求及主张；</w:t>
            </w:r>
          </w:p>
          <w:p w14:paraId="18B5574E">
            <w:pPr>
              <w:snapToGrid w:val="0"/>
              <w:spacing w:line="360" w:lineRule="exact"/>
              <w:ind w:firstLine="420" w:firstLineChars="200"/>
              <w:rPr>
                <w:rFonts w:ascii="宋体" w:hAnsi="宋体"/>
                <w:snapToGrid w:val="0"/>
                <w:color w:val="auto"/>
                <w:kern w:val="0"/>
                <w:highlight w:val="none"/>
              </w:rPr>
            </w:pPr>
            <w:r>
              <w:rPr>
                <w:rFonts w:hint="eastAsia" w:ascii="宋体" w:hAnsi="宋体"/>
                <w:snapToGrid w:val="0"/>
                <w:color w:val="auto"/>
                <w:kern w:val="0"/>
                <w:highlight w:val="none"/>
              </w:rPr>
              <w:t>（5）涉及事项的证据、证明材料。</w:t>
            </w:r>
          </w:p>
          <w:p w14:paraId="5E156DDD">
            <w:pPr>
              <w:snapToGrid w:val="0"/>
              <w:spacing w:line="360" w:lineRule="exact"/>
              <w:ind w:firstLine="420" w:firstLineChars="200"/>
              <w:rPr>
                <w:rFonts w:ascii="宋体" w:hAnsi="宋体"/>
                <w:snapToGrid w:val="0"/>
                <w:color w:val="auto"/>
                <w:kern w:val="0"/>
                <w:highlight w:val="none"/>
              </w:rPr>
            </w:pPr>
            <w:r>
              <w:rPr>
                <w:rFonts w:hint="eastAsia" w:ascii="宋体" w:hAnsi="宋体"/>
                <w:snapToGrid w:val="0"/>
                <w:color w:val="auto"/>
                <w:kern w:val="0"/>
                <w:highlight w:val="none"/>
              </w:rPr>
              <w:t>异议人或投诉人是法人的，异议书或投诉书必须由其法定代表人或者委托代理人签名并加盖单位公章；异议人或投诉人是其他组织或者自然人的，异议书或投诉书必须由其主要负责人签名或者异议人（或投诉人）本人签名，并附有效身份证明。如有关材料是外文，应当同时提供中文译本。</w:t>
            </w:r>
          </w:p>
          <w:p w14:paraId="6F1A61AF">
            <w:pPr>
              <w:snapToGrid w:val="0"/>
              <w:spacing w:line="360" w:lineRule="exact"/>
              <w:ind w:firstLine="420" w:firstLineChars="200"/>
              <w:rPr>
                <w:rFonts w:ascii="宋体" w:hAnsi="宋体"/>
                <w:snapToGrid w:val="0"/>
                <w:color w:val="auto"/>
                <w:kern w:val="0"/>
                <w:highlight w:val="none"/>
              </w:rPr>
            </w:pPr>
            <w:r>
              <w:rPr>
                <w:rFonts w:hint="eastAsia" w:ascii="宋体" w:hAnsi="宋体"/>
                <w:snapToGrid w:val="0"/>
                <w:color w:val="auto"/>
                <w:kern w:val="0"/>
                <w:highlight w:val="none"/>
              </w:rPr>
              <w:t>2. 行政监督部门依照《中华人民共和国招标投标法》、《中华人民共和国招标投标法实施条例》、《重庆市招标投标条例》、《工程建设项目招标投标活动投诉处理办法》（七部委令第11号（根据九部门2013年第23号令修正））、《关于印发〈重庆市招标投标活动投诉处理实施细则（修订）〉的通知》（渝公管发〔2021〕54号）等法律法规文件处理投诉。</w:t>
            </w:r>
          </w:p>
          <w:p w14:paraId="4EB47F7A">
            <w:pPr>
              <w:snapToGrid w:val="0"/>
              <w:spacing w:line="360" w:lineRule="exact"/>
              <w:ind w:firstLine="420" w:firstLineChars="200"/>
              <w:rPr>
                <w:rFonts w:ascii="宋体" w:hAnsi="宋体"/>
                <w:snapToGrid w:val="0"/>
                <w:color w:val="auto"/>
                <w:kern w:val="0"/>
                <w:highlight w:val="none"/>
              </w:rPr>
            </w:pPr>
            <w:r>
              <w:rPr>
                <w:rFonts w:hint="eastAsia" w:ascii="宋体" w:hAnsi="宋体"/>
                <w:snapToGrid w:val="0"/>
                <w:color w:val="auto"/>
                <w:kern w:val="0"/>
                <w:highlight w:val="none"/>
              </w:rPr>
              <w:t>3. 根据《重庆市工程建设领域招标投标信用管理暂行办法》的规定，被比选邀请人捏造事实、伪造材料，或者以非法手段获取证明材料进行质疑或者投诉的，将被列入黑名单管理；给他人造成损失的，依法承担赔偿责任。</w:t>
            </w:r>
          </w:p>
          <w:p w14:paraId="2FF6FEAB">
            <w:pPr>
              <w:snapToGrid w:val="0"/>
              <w:spacing w:line="360" w:lineRule="exact"/>
              <w:ind w:firstLine="420" w:firstLineChars="200"/>
              <w:rPr>
                <w:rFonts w:hint="eastAsia" w:ascii="宋体" w:hAnsi="宋体" w:eastAsia="宋体"/>
                <w:snapToGrid w:val="0"/>
                <w:color w:val="auto"/>
                <w:kern w:val="0"/>
                <w:highlight w:val="none"/>
                <w:lang w:eastAsia="zh-CN"/>
              </w:rPr>
            </w:pPr>
            <w:r>
              <w:rPr>
                <w:rFonts w:hint="eastAsia" w:ascii="宋体" w:hAnsi="宋体"/>
                <w:snapToGrid w:val="0"/>
                <w:color w:val="auto"/>
                <w:kern w:val="0"/>
                <w:highlight w:val="none"/>
              </w:rPr>
              <w:t>4. 异议受理单位：</w:t>
            </w:r>
            <w:r>
              <w:rPr>
                <w:rFonts w:hint="eastAsia" w:ascii="宋体" w:hAnsi="宋体"/>
                <w:snapToGrid w:val="0"/>
                <w:color w:val="auto"/>
                <w:kern w:val="0"/>
                <w:highlight w:val="none"/>
                <w:lang w:eastAsia="zh-CN"/>
              </w:rPr>
              <w:t>重庆市医药卫生学校</w:t>
            </w:r>
          </w:p>
          <w:p w14:paraId="1132503B">
            <w:pPr>
              <w:snapToGrid w:val="0"/>
              <w:spacing w:line="360" w:lineRule="exact"/>
              <w:ind w:firstLine="420" w:firstLineChars="200"/>
              <w:rPr>
                <w:rFonts w:hint="default" w:ascii="宋体" w:hAnsi="宋体" w:eastAsia="宋体"/>
                <w:color w:val="auto"/>
                <w:szCs w:val="21"/>
                <w:highlight w:val="none"/>
                <w:lang w:val="en-US" w:eastAsia="zh-CN"/>
              </w:rPr>
            </w:pPr>
            <w:r>
              <w:rPr>
                <w:rFonts w:hint="eastAsia" w:ascii="宋体" w:hAnsi="宋体"/>
                <w:snapToGrid w:val="0"/>
                <w:color w:val="auto"/>
                <w:kern w:val="0"/>
                <w:highlight w:val="none"/>
              </w:rPr>
              <w:t>联系电话：</w:t>
            </w:r>
            <w:r>
              <w:rPr>
                <w:rFonts w:hint="eastAsia" w:ascii="宋体" w:hAnsi="宋体" w:cs="宋体"/>
                <w:snapToGrid w:val="0"/>
                <w:color w:val="auto"/>
                <w:kern w:val="0"/>
                <w:szCs w:val="21"/>
                <w:highlight w:val="none"/>
                <w:lang w:val="en-US" w:eastAsia="zh-CN"/>
              </w:rPr>
              <w:t>13068363898</w:t>
            </w:r>
            <w:r>
              <w:rPr>
                <w:rFonts w:hint="eastAsia" w:ascii="宋体" w:hAnsi="宋体"/>
                <w:snapToGrid w:val="0"/>
                <w:color w:val="auto"/>
                <w:kern w:val="0"/>
                <w:highlight w:val="none"/>
              </w:rPr>
              <w:t xml:space="preserve"> </w:t>
            </w:r>
            <w:r>
              <w:rPr>
                <w:rFonts w:hint="eastAsia" w:ascii="宋体" w:hAnsi="宋体"/>
                <w:snapToGrid w:val="0"/>
                <w:color w:val="auto"/>
                <w:kern w:val="0"/>
                <w:highlight w:val="none"/>
                <w:lang w:val="en-US" w:eastAsia="zh-CN"/>
              </w:rPr>
              <w:t>石老师</w:t>
            </w:r>
          </w:p>
        </w:tc>
      </w:tr>
      <w:tr w14:paraId="581E9D8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32" w:hRule="atLeast"/>
          <w:jc w:val="center"/>
        </w:trPr>
        <w:tc>
          <w:tcPr>
            <w:tcW w:w="1221" w:type="dxa"/>
            <w:vAlign w:val="center"/>
          </w:tcPr>
          <w:p w14:paraId="5C9712C5">
            <w:pPr>
              <w:snapToGrid w:val="0"/>
              <w:spacing w:line="400" w:lineRule="exact"/>
              <w:jc w:val="center"/>
              <w:rPr>
                <w:rFonts w:ascii="宋体" w:hAnsi="宋体"/>
                <w:color w:val="auto"/>
                <w:kern w:val="0"/>
                <w:szCs w:val="21"/>
                <w:highlight w:val="none"/>
              </w:rPr>
            </w:pPr>
            <w:r>
              <w:rPr>
                <w:rFonts w:hint="eastAsia" w:ascii="宋体" w:hAnsi="宋体"/>
                <w:color w:val="auto"/>
                <w:kern w:val="0"/>
                <w:szCs w:val="21"/>
                <w:highlight w:val="none"/>
              </w:rPr>
              <w:t>10.1</w:t>
            </w:r>
          </w:p>
        </w:tc>
        <w:tc>
          <w:tcPr>
            <w:tcW w:w="1610" w:type="dxa"/>
            <w:vAlign w:val="center"/>
          </w:tcPr>
          <w:p w14:paraId="30295963">
            <w:pPr>
              <w:snapToGrid w:val="0"/>
              <w:spacing w:line="400" w:lineRule="exact"/>
              <w:jc w:val="center"/>
              <w:rPr>
                <w:rFonts w:ascii="宋体" w:hAnsi="宋体"/>
                <w:color w:val="auto"/>
                <w:kern w:val="0"/>
                <w:szCs w:val="21"/>
                <w:highlight w:val="none"/>
              </w:rPr>
            </w:pPr>
            <w:r>
              <w:rPr>
                <w:rFonts w:hint="eastAsia" w:ascii="宋体" w:hAnsi="宋体"/>
                <w:color w:val="auto"/>
                <w:kern w:val="0"/>
                <w:szCs w:val="21"/>
                <w:highlight w:val="none"/>
              </w:rPr>
              <w:t>其他</w:t>
            </w:r>
          </w:p>
        </w:tc>
        <w:tc>
          <w:tcPr>
            <w:tcW w:w="6737" w:type="dxa"/>
            <w:vAlign w:val="center"/>
          </w:tcPr>
          <w:p w14:paraId="38528769">
            <w:pPr>
              <w:pStyle w:val="279"/>
              <w:spacing w:line="390" w:lineRule="exact"/>
              <w:ind w:firstLine="420"/>
              <w:rPr>
                <w:rFonts w:ascii="宋体" w:hAnsi="宋体" w:cs="MingLiU"/>
                <w:snapToGrid w:val="0"/>
                <w:color w:val="auto"/>
                <w:kern w:val="0"/>
                <w:szCs w:val="21"/>
                <w:highlight w:val="none"/>
              </w:rPr>
            </w:pPr>
            <w:bookmarkStart w:id="56" w:name="OLE_LINK9"/>
            <w:bookmarkStart w:id="57" w:name="OLE_LINK10"/>
            <w:r>
              <w:rPr>
                <w:rFonts w:hint="eastAsia" w:ascii="宋体" w:hAnsi="宋体" w:cs="MingLiU"/>
                <w:snapToGrid w:val="0"/>
                <w:color w:val="auto"/>
                <w:kern w:val="0"/>
                <w:szCs w:val="21"/>
                <w:highlight w:val="none"/>
              </w:rPr>
              <w:t>1.定标的单价在施工发包合同签订后将不予改变（在施工过程中如有工程变更以设计院的正式通知为准，由监理单位、建设单位确认后，可予以认可）。</w:t>
            </w:r>
          </w:p>
          <w:p w14:paraId="2679891F">
            <w:pPr>
              <w:tabs>
                <w:tab w:val="left" w:pos="546"/>
                <w:tab w:val="left" w:pos="711"/>
              </w:tabs>
              <w:snapToGrid w:val="0"/>
              <w:spacing w:line="390" w:lineRule="exact"/>
              <w:ind w:firstLine="420" w:firstLineChars="200"/>
              <w:jc w:val="left"/>
              <w:rPr>
                <w:rFonts w:ascii="宋体" w:hAnsi="宋体" w:cs="MingLiU"/>
                <w:snapToGrid w:val="0"/>
                <w:color w:val="auto"/>
                <w:kern w:val="0"/>
                <w:szCs w:val="21"/>
                <w:highlight w:val="none"/>
                <w:lang w:val="en-GB"/>
              </w:rPr>
            </w:pPr>
            <w:r>
              <w:rPr>
                <w:rFonts w:hint="eastAsia" w:ascii="宋体" w:hAnsi="宋体" w:cs="MingLiU"/>
                <w:snapToGrid w:val="0"/>
                <w:color w:val="auto"/>
                <w:kern w:val="0"/>
                <w:szCs w:val="21"/>
                <w:highlight w:val="none"/>
              </w:rPr>
              <w:t>2．竞选人应先到工地踏勘以充分了解工地位置情况、道路、储存空间、装卸限制及任何其它足以影响报价的情况，任何因忽视或误解工地情况而导致的索赔或工期延长申请将不获批准</w:t>
            </w:r>
            <w:r>
              <w:rPr>
                <w:rFonts w:hint="eastAsia" w:ascii="宋体" w:hAnsi="宋体" w:cs="MingLiU"/>
                <w:snapToGrid w:val="0"/>
                <w:color w:val="auto"/>
                <w:kern w:val="0"/>
                <w:szCs w:val="21"/>
                <w:highlight w:val="none"/>
                <w:lang w:val="en-GB"/>
              </w:rPr>
              <w:t>。</w:t>
            </w:r>
          </w:p>
          <w:p w14:paraId="2C530F44">
            <w:pPr>
              <w:tabs>
                <w:tab w:val="left" w:pos="546"/>
                <w:tab w:val="left" w:pos="711"/>
              </w:tabs>
              <w:snapToGrid w:val="0"/>
              <w:spacing w:line="390" w:lineRule="exact"/>
              <w:ind w:firstLine="420" w:firstLineChars="200"/>
              <w:jc w:val="left"/>
              <w:rPr>
                <w:rFonts w:ascii="宋体" w:hAnsi="宋体" w:cs="MingLiU"/>
                <w:snapToGrid w:val="0"/>
                <w:color w:val="auto"/>
                <w:kern w:val="0"/>
                <w:szCs w:val="21"/>
                <w:highlight w:val="none"/>
              </w:rPr>
            </w:pPr>
            <w:r>
              <w:rPr>
                <w:rFonts w:hint="eastAsia" w:ascii="宋体" w:hAnsi="宋体" w:cs="MingLiU"/>
                <w:snapToGrid w:val="0"/>
                <w:color w:val="auto"/>
                <w:kern w:val="0"/>
                <w:szCs w:val="21"/>
                <w:highlight w:val="none"/>
              </w:rPr>
              <w:t>3.措施项目费清单包括施工组织措施项目清单和施工技术措施项目清单两部分。由竞选人根据本项目的具体情况报价，如果漏项或不报价，视为已包含在其他项目清单综合单价内，中标后施工措施项目费用一概不作调整，包干使用。</w:t>
            </w:r>
          </w:p>
          <w:p w14:paraId="3ED9770D">
            <w:pPr>
              <w:tabs>
                <w:tab w:val="left" w:pos="546"/>
                <w:tab w:val="left" w:pos="711"/>
              </w:tabs>
              <w:snapToGrid w:val="0"/>
              <w:spacing w:line="390" w:lineRule="exact"/>
              <w:ind w:firstLine="420" w:firstLineChars="200"/>
              <w:jc w:val="left"/>
              <w:rPr>
                <w:rFonts w:ascii="宋体" w:hAnsi="宋体" w:cs="MingLiU"/>
                <w:snapToGrid w:val="0"/>
                <w:color w:val="auto"/>
                <w:kern w:val="0"/>
                <w:szCs w:val="21"/>
                <w:highlight w:val="none"/>
              </w:rPr>
            </w:pPr>
            <w:r>
              <w:rPr>
                <w:rFonts w:hint="eastAsia" w:ascii="宋体" w:hAnsi="宋体" w:cs="MingLiU"/>
                <w:snapToGrid w:val="0"/>
                <w:color w:val="auto"/>
                <w:kern w:val="0"/>
                <w:szCs w:val="21"/>
                <w:highlight w:val="none"/>
              </w:rPr>
              <w:t>4.报价范围：同招标范围。招标范围内的工程项目费包括直接费、间接费、利润、措施费（含易撒漏物质密闭运输的费用）、建筑垃圾外运费、多余土石方外运、渣场处置费、大型机械进出场费、运输费、规费、税金及合同执行期间的风险费，项目业主除此以外不支付其它费用，除非合同中另有约定。</w:t>
            </w:r>
          </w:p>
          <w:p w14:paraId="06CD1D6D">
            <w:pPr>
              <w:pStyle w:val="2"/>
              <w:snapToGrid w:val="0"/>
              <w:spacing w:after="0" w:line="430" w:lineRule="exact"/>
              <w:ind w:firstLine="420" w:firstLineChars="200"/>
              <w:rPr>
                <w:rFonts w:ascii="宋体" w:hAnsi="宋体" w:cs="MingLiU"/>
                <w:snapToGrid w:val="0"/>
                <w:color w:val="auto"/>
                <w:sz w:val="21"/>
                <w:szCs w:val="21"/>
                <w:highlight w:val="none"/>
              </w:rPr>
            </w:pPr>
            <w:r>
              <w:rPr>
                <w:rFonts w:hint="eastAsia" w:ascii="宋体" w:hAnsi="宋体" w:cs="MingLiU"/>
                <w:snapToGrid w:val="0"/>
                <w:color w:val="auto"/>
                <w:sz w:val="21"/>
                <w:szCs w:val="21"/>
                <w:highlight w:val="none"/>
              </w:rPr>
              <w:t>5．竞选人可参考定额以及相关配套文件，根据市场行情及项目业主提供的比选文件、工程量清单、工程环境因素和工程特点及风险，结合企业经营状况和企业自身经济实力自主报价。竞选报价应包括完成招标工程的人工费、材料费、机械费、措施费、运输费、管理费、试验费、检验费、检测费、缺陷修复、总包服务费、利润、安全文明施工费用、劳动保险费、税金及施工规费等工程所需全部费用，以及本比选文件中的所有一切风险、责任和义务等。竞选人可先到工地踏勘以充分了解工地位置、道路、储存空间、装卸限制及任何其他足以影响承包价的情况，任何因忽视或误解工地情况而导致的索赔或工期延长申请将不被批准。</w:t>
            </w:r>
          </w:p>
          <w:p w14:paraId="7C3661B7">
            <w:pPr>
              <w:autoSpaceDE w:val="0"/>
              <w:autoSpaceDN w:val="0"/>
              <w:adjustRightInd w:val="0"/>
              <w:snapToGrid w:val="0"/>
              <w:spacing w:line="430" w:lineRule="exact"/>
              <w:ind w:firstLine="420" w:firstLineChars="200"/>
              <w:jc w:val="left"/>
              <w:rPr>
                <w:rFonts w:ascii="宋体" w:hAnsi="宋体" w:cs="MingLiU"/>
                <w:snapToGrid w:val="0"/>
                <w:color w:val="auto"/>
                <w:kern w:val="0"/>
                <w:szCs w:val="21"/>
                <w:highlight w:val="none"/>
              </w:rPr>
            </w:pPr>
            <w:r>
              <w:rPr>
                <w:rFonts w:hint="eastAsia" w:ascii="宋体" w:hAnsi="宋体" w:cs="MingLiU"/>
                <w:snapToGrid w:val="0"/>
                <w:color w:val="auto"/>
                <w:kern w:val="0"/>
                <w:szCs w:val="21"/>
                <w:highlight w:val="none"/>
              </w:rPr>
              <w:t>6．安全文明措施费的要求与内容、提取支付方法以及违反约定造成损失的赔偿等条款，按照现行规范性要求执行，做到专款专用。</w:t>
            </w:r>
          </w:p>
          <w:p w14:paraId="06084051">
            <w:pPr>
              <w:autoSpaceDE w:val="0"/>
              <w:autoSpaceDN w:val="0"/>
              <w:adjustRightInd w:val="0"/>
              <w:snapToGrid w:val="0"/>
              <w:spacing w:line="430" w:lineRule="exact"/>
              <w:ind w:firstLine="420" w:firstLineChars="200"/>
              <w:jc w:val="left"/>
              <w:rPr>
                <w:rFonts w:ascii="宋体" w:hAnsi="宋体" w:cs="MingLiU"/>
                <w:snapToGrid w:val="0"/>
                <w:color w:val="auto"/>
                <w:kern w:val="0"/>
                <w:szCs w:val="21"/>
                <w:highlight w:val="none"/>
              </w:rPr>
            </w:pPr>
            <w:r>
              <w:rPr>
                <w:rFonts w:hint="eastAsia" w:ascii="宋体" w:hAnsi="宋体" w:cs="MingLiU"/>
                <w:snapToGrid w:val="0"/>
                <w:color w:val="auto"/>
                <w:kern w:val="0"/>
                <w:szCs w:val="21"/>
                <w:highlight w:val="none"/>
              </w:rPr>
              <w:t>7．竞选人应在综合单价中自行考虑材料安装损耗率。</w:t>
            </w:r>
          </w:p>
          <w:p w14:paraId="3793D4AE">
            <w:pPr>
              <w:widowControl/>
              <w:spacing w:line="400" w:lineRule="exact"/>
              <w:ind w:firstLine="420" w:firstLineChars="200"/>
              <w:rPr>
                <w:rFonts w:ascii="宋体" w:hAnsi="宋体" w:cs="MingLiU"/>
                <w:snapToGrid w:val="0"/>
                <w:color w:val="auto"/>
                <w:kern w:val="0"/>
                <w:szCs w:val="21"/>
                <w:highlight w:val="none"/>
              </w:rPr>
            </w:pPr>
            <w:r>
              <w:rPr>
                <w:rFonts w:hint="eastAsia" w:ascii="宋体" w:hAnsi="宋体" w:cs="MingLiU"/>
                <w:snapToGrid w:val="0"/>
                <w:color w:val="auto"/>
                <w:kern w:val="0"/>
                <w:szCs w:val="21"/>
                <w:highlight w:val="none"/>
                <w:lang w:val="en-US" w:eastAsia="zh-CN"/>
              </w:rPr>
              <w:t>8</w:t>
            </w:r>
            <w:r>
              <w:rPr>
                <w:rFonts w:hint="eastAsia" w:ascii="宋体" w:hAnsi="宋体" w:cs="MingLiU"/>
                <w:snapToGrid w:val="0"/>
                <w:color w:val="auto"/>
                <w:kern w:val="0"/>
                <w:szCs w:val="21"/>
                <w:highlight w:val="none"/>
              </w:rPr>
              <w:t>.按政策规定应由施工单位购买和合同约定的各种保险费应由中标人自行投保，并根据企业自身情况和本工程实际情况测算，包含在编制的相应工程量清单中。</w:t>
            </w:r>
          </w:p>
          <w:p w14:paraId="57A5B0C0">
            <w:pPr>
              <w:autoSpaceDE w:val="0"/>
              <w:autoSpaceDN w:val="0"/>
              <w:adjustRightInd w:val="0"/>
              <w:snapToGrid w:val="0"/>
              <w:spacing w:line="360" w:lineRule="auto"/>
              <w:ind w:firstLine="420" w:firstLineChars="200"/>
              <w:rPr>
                <w:rFonts w:ascii="宋体" w:hAnsi="宋体" w:cs="MingLiU"/>
                <w:snapToGrid w:val="0"/>
                <w:color w:val="auto"/>
                <w:kern w:val="0"/>
                <w:szCs w:val="21"/>
                <w:highlight w:val="none"/>
              </w:rPr>
            </w:pPr>
            <w:r>
              <w:rPr>
                <w:rFonts w:hint="eastAsia" w:ascii="宋体" w:hAnsi="宋体" w:cs="MingLiU"/>
                <w:snapToGrid w:val="0"/>
                <w:color w:val="auto"/>
                <w:kern w:val="0"/>
                <w:szCs w:val="21"/>
                <w:highlight w:val="none"/>
                <w:lang w:val="en-US" w:eastAsia="zh-CN"/>
              </w:rPr>
              <w:t>9</w:t>
            </w:r>
            <w:r>
              <w:rPr>
                <w:rFonts w:hint="eastAsia" w:ascii="宋体" w:hAnsi="宋体" w:cs="MingLiU"/>
                <w:snapToGrid w:val="0"/>
                <w:color w:val="auto"/>
                <w:kern w:val="0"/>
                <w:szCs w:val="21"/>
                <w:highlight w:val="none"/>
              </w:rPr>
              <w:t>.比选人在发出中标通知书前，比选人有权对中标企业竞选文件资料的真实性进行核查。竞选人在竞选期间提供虚假材料、参与围标串标、中标后违法分包转包行为，按相关法律法规处罚，由区级相关部门列入黑名单，在一定期限内禁止其在涪陵区的投标活动。</w:t>
            </w:r>
          </w:p>
          <w:p w14:paraId="3CF32013">
            <w:pPr>
              <w:spacing w:line="360" w:lineRule="auto"/>
              <w:ind w:firstLine="308" w:firstLineChars="147"/>
              <w:rPr>
                <w:rFonts w:ascii="宋体" w:hAnsi="宋体" w:cs="MingLiU"/>
                <w:snapToGrid w:val="0"/>
                <w:color w:val="auto"/>
                <w:kern w:val="0"/>
                <w:szCs w:val="21"/>
                <w:highlight w:val="none"/>
              </w:rPr>
            </w:pPr>
            <w:r>
              <w:rPr>
                <w:rFonts w:hint="eastAsia" w:ascii="宋体" w:hAnsi="宋体" w:cs="MingLiU"/>
                <w:snapToGrid w:val="0"/>
                <w:color w:val="auto"/>
                <w:kern w:val="0"/>
                <w:szCs w:val="21"/>
                <w:highlight w:val="none"/>
              </w:rPr>
              <w:t>1</w:t>
            </w:r>
            <w:r>
              <w:rPr>
                <w:rFonts w:hint="eastAsia" w:ascii="宋体" w:hAnsi="宋体" w:cs="MingLiU"/>
                <w:snapToGrid w:val="0"/>
                <w:color w:val="auto"/>
                <w:kern w:val="0"/>
                <w:szCs w:val="21"/>
                <w:highlight w:val="none"/>
                <w:lang w:val="en-US" w:eastAsia="zh-CN"/>
              </w:rPr>
              <w:t>0</w:t>
            </w:r>
            <w:r>
              <w:rPr>
                <w:rFonts w:hint="eastAsia" w:ascii="宋体" w:hAnsi="宋体" w:cs="MingLiU"/>
                <w:snapToGrid w:val="0"/>
                <w:color w:val="auto"/>
                <w:kern w:val="0"/>
                <w:szCs w:val="21"/>
                <w:highlight w:val="none"/>
              </w:rPr>
              <w:t>.竞选人被确定中标候选人后，除不可抗力因素外，未按招标文件要求履行义务的或无故放弃中标资格的，视为放弃中标或无正当理由不与比选人订立合同行为，竞选保证金比选人将不予返还，按《重庆市建筑施工企业诚信综合评价体系》通常行为进行扣分。由区级相关部门列入黑名单，在一定期限内禁止其在涪陵区的投标活动。</w:t>
            </w:r>
          </w:p>
          <w:p w14:paraId="4E8608DF">
            <w:pPr>
              <w:spacing w:line="360" w:lineRule="auto"/>
              <w:ind w:firstLine="308" w:firstLineChars="147"/>
              <w:rPr>
                <w:rFonts w:ascii="宋体" w:hAnsi="宋体" w:cs="MingLiU"/>
                <w:snapToGrid w:val="0"/>
                <w:color w:val="auto"/>
                <w:kern w:val="0"/>
                <w:szCs w:val="21"/>
                <w:highlight w:val="none"/>
              </w:rPr>
            </w:pPr>
            <w:r>
              <w:rPr>
                <w:rFonts w:hint="eastAsia" w:ascii="宋体" w:hAnsi="宋体" w:cs="MingLiU"/>
                <w:snapToGrid w:val="0"/>
                <w:color w:val="auto"/>
                <w:kern w:val="0"/>
                <w:szCs w:val="21"/>
                <w:highlight w:val="none"/>
              </w:rPr>
              <w:t>1</w:t>
            </w:r>
            <w:r>
              <w:rPr>
                <w:rFonts w:hint="eastAsia" w:ascii="宋体" w:hAnsi="宋体" w:cs="MingLiU"/>
                <w:snapToGrid w:val="0"/>
                <w:color w:val="auto"/>
                <w:kern w:val="0"/>
                <w:szCs w:val="21"/>
                <w:highlight w:val="none"/>
                <w:lang w:val="en-US" w:eastAsia="zh-CN"/>
              </w:rPr>
              <w:t>1</w:t>
            </w:r>
            <w:r>
              <w:rPr>
                <w:rFonts w:hint="eastAsia" w:ascii="宋体" w:hAnsi="宋体" w:cs="MingLiU"/>
                <w:snapToGrid w:val="0"/>
                <w:color w:val="auto"/>
                <w:kern w:val="0"/>
                <w:szCs w:val="21"/>
                <w:highlight w:val="none"/>
              </w:rPr>
              <w:t>.比选人因资金筹措、政策变化或政府决定等导致该项目无法继续实施的，比选人有权终止本次招标:1）竞选人未缴纳竞选保证金的，不再缴纳；2）竞选人已缴纳竞选保证金的，比选人除退还竞选人所交竞选保证金外，不承担其他任何责任；3）未签定施工合同的，不再签定。</w:t>
            </w:r>
          </w:p>
          <w:p w14:paraId="5E40B9D3">
            <w:pPr>
              <w:spacing w:line="360" w:lineRule="auto"/>
              <w:ind w:firstLine="308" w:firstLineChars="147"/>
              <w:rPr>
                <w:rFonts w:ascii="宋体" w:hAnsi="宋体" w:cs="MingLiU"/>
                <w:snapToGrid w:val="0"/>
                <w:color w:val="auto"/>
                <w:kern w:val="0"/>
                <w:szCs w:val="21"/>
                <w:highlight w:val="none"/>
              </w:rPr>
            </w:pPr>
            <w:r>
              <w:rPr>
                <w:rFonts w:hint="eastAsia" w:ascii="宋体" w:hAnsi="宋体" w:cs="MingLiU"/>
                <w:snapToGrid w:val="0"/>
                <w:color w:val="auto"/>
                <w:kern w:val="0"/>
                <w:szCs w:val="21"/>
                <w:highlight w:val="none"/>
              </w:rPr>
              <w:t>1</w:t>
            </w:r>
            <w:r>
              <w:rPr>
                <w:rFonts w:hint="eastAsia" w:ascii="宋体" w:hAnsi="宋体" w:cs="MingLiU"/>
                <w:snapToGrid w:val="0"/>
                <w:color w:val="auto"/>
                <w:kern w:val="0"/>
                <w:szCs w:val="21"/>
                <w:highlight w:val="none"/>
                <w:lang w:val="en-US" w:eastAsia="zh-CN"/>
              </w:rPr>
              <w:t>2</w:t>
            </w:r>
            <w:r>
              <w:rPr>
                <w:rFonts w:hint="eastAsia" w:ascii="宋体" w:hAnsi="宋体" w:cs="MingLiU"/>
                <w:snapToGrid w:val="0"/>
                <w:color w:val="auto"/>
                <w:kern w:val="0"/>
                <w:szCs w:val="21"/>
                <w:highlight w:val="none"/>
              </w:rPr>
              <w:t>.发包人因资金筹措、政策变化或政府决定等导致该项目无法继续实施的，发包人有权终止本合同：1.未开工的，发包人只负责退还承包人缴纳的履约担保金，不承担其他任何责任；2.已开工的，由第三方对已完成部分工程进行结算审核，发包人除根据结算审核结果支付剩余工程款外，不承担其他任何责任。</w:t>
            </w:r>
          </w:p>
          <w:p w14:paraId="56F0727E">
            <w:pPr>
              <w:spacing w:line="360" w:lineRule="auto"/>
              <w:ind w:firstLine="308" w:firstLineChars="147"/>
              <w:rPr>
                <w:rFonts w:ascii="宋体" w:hAnsi="宋体" w:cs="MingLiU"/>
                <w:snapToGrid w:val="0"/>
                <w:color w:val="auto"/>
                <w:kern w:val="0"/>
                <w:szCs w:val="21"/>
                <w:highlight w:val="none"/>
              </w:rPr>
            </w:pPr>
            <w:r>
              <w:rPr>
                <w:rFonts w:hint="eastAsia" w:ascii="宋体" w:hAnsi="宋体" w:cs="MingLiU"/>
                <w:snapToGrid w:val="0"/>
                <w:color w:val="auto"/>
                <w:kern w:val="0"/>
                <w:szCs w:val="21"/>
                <w:highlight w:val="none"/>
              </w:rPr>
              <w:t>1</w:t>
            </w:r>
            <w:r>
              <w:rPr>
                <w:rFonts w:hint="eastAsia" w:ascii="宋体" w:hAnsi="宋体" w:cs="MingLiU"/>
                <w:snapToGrid w:val="0"/>
                <w:color w:val="auto"/>
                <w:kern w:val="0"/>
                <w:szCs w:val="21"/>
                <w:highlight w:val="none"/>
                <w:lang w:val="en-US" w:eastAsia="zh-CN"/>
              </w:rPr>
              <w:t>3</w:t>
            </w:r>
            <w:r>
              <w:rPr>
                <w:rFonts w:hint="eastAsia" w:ascii="宋体" w:hAnsi="宋体" w:cs="MingLiU"/>
                <w:snapToGrid w:val="0"/>
                <w:color w:val="auto"/>
                <w:kern w:val="0"/>
                <w:szCs w:val="21"/>
                <w:highlight w:val="none"/>
              </w:rPr>
              <w:t>. 在实施过程中，发包人可根据项目实际情况，对工程内容或工程量进行调整，承包人须按发包人要求进行施工。</w:t>
            </w:r>
          </w:p>
          <w:bookmarkEnd w:id="56"/>
          <w:bookmarkEnd w:id="57"/>
          <w:p w14:paraId="5BFB1D6B">
            <w:pPr>
              <w:spacing w:line="360" w:lineRule="auto"/>
              <w:ind w:firstLine="308" w:firstLineChars="147"/>
              <w:rPr>
                <w:color w:val="auto"/>
                <w:szCs w:val="21"/>
                <w:highlight w:val="none"/>
              </w:rPr>
            </w:pPr>
          </w:p>
        </w:tc>
      </w:tr>
      <w:bookmarkEnd w:id="41"/>
    </w:tbl>
    <w:p w14:paraId="575BEFE6">
      <w:pPr>
        <w:rPr>
          <w:rFonts w:ascii="宋体" w:hAnsi="宋体" w:cs="宋体"/>
          <w:color w:val="auto"/>
          <w:kern w:val="0"/>
          <w:highlight w:val="none"/>
        </w:rPr>
        <w:sectPr>
          <w:footerReference r:id="rId6" w:type="default"/>
          <w:pgSz w:w="11906" w:h="16838"/>
          <w:pgMar w:top="794" w:right="1134" w:bottom="794" w:left="1418" w:header="851" w:footer="992" w:gutter="0"/>
          <w:pgNumType w:start="1"/>
          <w:cols w:space="720" w:num="1"/>
          <w:docGrid w:linePitch="312" w:charSpace="0"/>
        </w:sectPr>
      </w:pPr>
    </w:p>
    <w:p w14:paraId="428FA278">
      <w:pPr>
        <w:pStyle w:val="4"/>
        <w:rPr>
          <w:rFonts w:ascii="宋体" w:hAnsi="宋体" w:eastAsia="宋体" w:cs="宋体"/>
          <w:snapToGrid w:val="0"/>
          <w:color w:val="auto"/>
          <w:spacing w:val="0"/>
          <w:highlight w:val="none"/>
        </w:rPr>
      </w:pPr>
      <w:bookmarkStart w:id="58" w:name="_Toc200513126"/>
      <w:bookmarkStart w:id="59" w:name="_Toc224103317"/>
      <w:bookmarkStart w:id="60" w:name="_Toc3874"/>
      <w:bookmarkStart w:id="61" w:name="A6"/>
      <w:r>
        <w:rPr>
          <w:rFonts w:hint="eastAsia" w:ascii="宋体" w:hAnsi="宋体" w:eastAsia="宋体" w:cs="宋体"/>
          <w:snapToGrid w:val="0"/>
          <w:color w:val="auto"/>
          <w:spacing w:val="0"/>
          <w:highlight w:val="none"/>
        </w:rPr>
        <w:t>1.  总则</w:t>
      </w:r>
      <w:bookmarkEnd w:id="58"/>
      <w:bookmarkEnd w:id="59"/>
      <w:bookmarkEnd w:id="60"/>
    </w:p>
    <w:p w14:paraId="5296C280">
      <w:pPr>
        <w:pStyle w:val="5"/>
        <w:snapToGrid w:val="0"/>
        <w:spacing w:line="360" w:lineRule="auto"/>
        <w:rPr>
          <w:rFonts w:ascii="宋体" w:hAnsi="宋体" w:eastAsia="宋体" w:cs="宋体"/>
          <w:snapToGrid w:val="0"/>
          <w:color w:val="auto"/>
          <w:highlight w:val="none"/>
        </w:rPr>
      </w:pPr>
      <w:bookmarkStart w:id="62" w:name="_Toc224103318"/>
      <w:bookmarkStart w:id="63" w:name="_Toc200513127"/>
      <w:r>
        <w:rPr>
          <w:rFonts w:hint="eastAsia" w:ascii="宋体" w:hAnsi="宋体" w:eastAsia="宋体" w:cs="宋体"/>
          <w:snapToGrid w:val="0"/>
          <w:color w:val="auto"/>
          <w:highlight w:val="none"/>
        </w:rPr>
        <w:t>1.1  项目概况</w:t>
      </w:r>
      <w:bookmarkEnd w:id="62"/>
      <w:bookmarkEnd w:id="63"/>
    </w:p>
    <w:p w14:paraId="4FFE0682">
      <w:pPr>
        <w:autoSpaceDE w:val="0"/>
        <w:autoSpaceDN w:val="0"/>
        <w:adjustRightInd w:val="0"/>
        <w:snapToGrid w:val="0"/>
        <w:spacing w:line="360" w:lineRule="auto"/>
        <w:ind w:firstLine="357" w:firstLineChars="170"/>
        <w:jc w:val="left"/>
        <w:rPr>
          <w:rFonts w:ascii="宋体" w:hAnsi="宋体" w:cs="宋体"/>
          <w:snapToGrid w:val="0"/>
          <w:color w:val="auto"/>
          <w:kern w:val="0"/>
          <w:szCs w:val="21"/>
          <w:highlight w:val="none"/>
        </w:rPr>
      </w:pPr>
      <w:r>
        <w:rPr>
          <w:rFonts w:hint="eastAsia" w:ascii="宋体" w:hAnsi="宋体" w:cs="宋体"/>
          <w:snapToGrid w:val="0"/>
          <w:color w:val="auto"/>
          <w:kern w:val="0"/>
          <w:szCs w:val="21"/>
          <w:highlight w:val="none"/>
        </w:rPr>
        <w:t xml:space="preserve">1.1.1  </w:t>
      </w:r>
      <w:r>
        <w:rPr>
          <w:rFonts w:hint="eastAsia" w:ascii="宋体" w:hAnsi="宋体" w:cs="宋体"/>
          <w:color w:val="auto"/>
          <w:highlight w:val="none"/>
        </w:rPr>
        <w:t>参照《中华人民共和国招标投标法》、《中华人民共和国招标投标法实施条例》等有关法律、法规和规章的规定，本竞争性比选项目已具备竞争性比选条件，现对本项目施工进行竞争性比选。</w:t>
      </w:r>
    </w:p>
    <w:p w14:paraId="4D37A7B4">
      <w:pPr>
        <w:autoSpaceDE w:val="0"/>
        <w:autoSpaceDN w:val="0"/>
        <w:adjustRightInd w:val="0"/>
        <w:snapToGrid w:val="0"/>
        <w:spacing w:line="360" w:lineRule="auto"/>
        <w:ind w:firstLine="357" w:firstLineChars="170"/>
        <w:jc w:val="left"/>
        <w:rPr>
          <w:rFonts w:ascii="宋体" w:hAnsi="宋体" w:cs="宋体"/>
          <w:snapToGrid w:val="0"/>
          <w:color w:val="auto"/>
          <w:kern w:val="0"/>
          <w:szCs w:val="21"/>
          <w:highlight w:val="none"/>
        </w:rPr>
      </w:pPr>
      <w:r>
        <w:rPr>
          <w:rFonts w:hint="eastAsia" w:ascii="宋体" w:hAnsi="宋体" w:cs="宋体"/>
          <w:snapToGrid w:val="0"/>
          <w:color w:val="auto"/>
          <w:kern w:val="0"/>
          <w:szCs w:val="21"/>
          <w:highlight w:val="none"/>
        </w:rPr>
        <w:t>1.1.2  本比选项目比选人：见竞选人须知前附表。</w:t>
      </w:r>
    </w:p>
    <w:p w14:paraId="2056D659">
      <w:pPr>
        <w:autoSpaceDE w:val="0"/>
        <w:autoSpaceDN w:val="0"/>
        <w:adjustRightInd w:val="0"/>
        <w:snapToGrid w:val="0"/>
        <w:spacing w:line="360" w:lineRule="auto"/>
        <w:ind w:left="359" w:leftChars="171"/>
        <w:jc w:val="left"/>
        <w:rPr>
          <w:rFonts w:ascii="宋体" w:hAnsi="宋体" w:cs="宋体"/>
          <w:snapToGrid w:val="0"/>
          <w:color w:val="auto"/>
          <w:kern w:val="0"/>
          <w:szCs w:val="21"/>
          <w:highlight w:val="none"/>
        </w:rPr>
      </w:pPr>
      <w:r>
        <w:rPr>
          <w:rFonts w:hint="eastAsia" w:ascii="宋体" w:hAnsi="宋体" w:cs="宋体"/>
          <w:snapToGrid w:val="0"/>
          <w:color w:val="auto"/>
          <w:kern w:val="0"/>
          <w:szCs w:val="21"/>
          <w:highlight w:val="none"/>
        </w:rPr>
        <w:t>1.1.3  本项目代理机构：见竞选人须知前附表。</w:t>
      </w:r>
    </w:p>
    <w:p w14:paraId="1C020F2F">
      <w:pPr>
        <w:autoSpaceDE w:val="0"/>
        <w:autoSpaceDN w:val="0"/>
        <w:adjustRightInd w:val="0"/>
        <w:snapToGrid w:val="0"/>
        <w:spacing w:line="360" w:lineRule="auto"/>
        <w:ind w:left="359" w:leftChars="171"/>
        <w:jc w:val="left"/>
        <w:rPr>
          <w:rFonts w:ascii="宋体" w:hAnsi="宋体" w:cs="宋体"/>
          <w:snapToGrid w:val="0"/>
          <w:color w:val="auto"/>
          <w:kern w:val="0"/>
          <w:szCs w:val="21"/>
          <w:highlight w:val="none"/>
        </w:rPr>
      </w:pPr>
      <w:r>
        <w:rPr>
          <w:rFonts w:hint="eastAsia" w:ascii="宋体" w:hAnsi="宋体" w:cs="宋体"/>
          <w:snapToGrid w:val="0"/>
          <w:color w:val="auto"/>
          <w:kern w:val="0"/>
          <w:szCs w:val="21"/>
          <w:highlight w:val="none"/>
        </w:rPr>
        <w:t>1.1.4  本比选项目名称：见竞选人须知前附表。</w:t>
      </w:r>
    </w:p>
    <w:p w14:paraId="21CD1FFF">
      <w:pPr>
        <w:autoSpaceDE w:val="0"/>
        <w:autoSpaceDN w:val="0"/>
        <w:adjustRightInd w:val="0"/>
        <w:snapToGrid w:val="0"/>
        <w:spacing w:line="360" w:lineRule="auto"/>
        <w:ind w:left="359" w:leftChars="171"/>
        <w:jc w:val="left"/>
        <w:rPr>
          <w:rFonts w:ascii="宋体" w:hAnsi="宋体" w:cs="宋体"/>
          <w:snapToGrid w:val="0"/>
          <w:color w:val="auto"/>
          <w:kern w:val="0"/>
          <w:szCs w:val="21"/>
          <w:highlight w:val="none"/>
        </w:rPr>
      </w:pPr>
      <w:r>
        <w:rPr>
          <w:rFonts w:hint="eastAsia" w:ascii="宋体" w:hAnsi="宋体" w:cs="宋体"/>
          <w:snapToGrid w:val="0"/>
          <w:color w:val="auto"/>
          <w:kern w:val="0"/>
          <w:szCs w:val="21"/>
          <w:highlight w:val="none"/>
        </w:rPr>
        <w:t>1.1.5  本项目建设地点：见竞选人须知前附表。</w:t>
      </w:r>
    </w:p>
    <w:p w14:paraId="222B3651">
      <w:pPr>
        <w:pStyle w:val="5"/>
        <w:snapToGrid w:val="0"/>
        <w:spacing w:line="360" w:lineRule="auto"/>
        <w:rPr>
          <w:rFonts w:ascii="宋体" w:hAnsi="宋体" w:eastAsia="宋体" w:cs="宋体"/>
          <w:snapToGrid w:val="0"/>
          <w:color w:val="auto"/>
          <w:highlight w:val="none"/>
        </w:rPr>
      </w:pPr>
      <w:bookmarkStart w:id="64" w:name="_Toc224103319"/>
      <w:bookmarkStart w:id="65" w:name="_Toc200513128"/>
      <w:r>
        <w:rPr>
          <w:rFonts w:hint="eastAsia" w:ascii="宋体" w:hAnsi="宋体" w:eastAsia="宋体" w:cs="宋体"/>
          <w:snapToGrid w:val="0"/>
          <w:color w:val="auto"/>
          <w:highlight w:val="none"/>
        </w:rPr>
        <w:t>1.2  资金来源和落实情况</w:t>
      </w:r>
      <w:bookmarkEnd w:id="64"/>
      <w:bookmarkEnd w:id="65"/>
    </w:p>
    <w:p w14:paraId="32A4152B">
      <w:pPr>
        <w:autoSpaceDE w:val="0"/>
        <w:autoSpaceDN w:val="0"/>
        <w:adjustRightInd w:val="0"/>
        <w:snapToGrid w:val="0"/>
        <w:spacing w:line="360" w:lineRule="auto"/>
        <w:ind w:left="359" w:leftChars="171"/>
        <w:jc w:val="left"/>
        <w:rPr>
          <w:rFonts w:ascii="宋体" w:hAnsi="宋体" w:cs="宋体"/>
          <w:snapToGrid w:val="0"/>
          <w:color w:val="auto"/>
          <w:kern w:val="0"/>
          <w:szCs w:val="21"/>
          <w:highlight w:val="none"/>
        </w:rPr>
      </w:pPr>
      <w:r>
        <w:rPr>
          <w:rFonts w:hint="eastAsia" w:ascii="宋体" w:hAnsi="宋体" w:cs="宋体"/>
          <w:snapToGrid w:val="0"/>
          <w:color w:val="auto"/>
          <w:kern w:val="0"/>
          <w:szCs w:val="21"/>
          <w:highlight w:val="none"/>
        </w:rPr>
        <w:t>1.2.1  本比选项目的资金来源：见竞选人须知前附表。</w:t>
      </w:r>
    </w:p>
    <w:p w14:paraId="5BAE2108">
      <w:pPr>
        <w:autoSpaceDE w:val="0"/>
        <w:autoSpaceDN w:val="0"/>
        <w:adjustRightInd w:val="0"/>
        <w:snapToGrid w:val="0"/>
        <w:spacing w:line="360" w:lineRule="auto"/>
        <w:ind w:left="359" w:leftChars="171"/>
        <w:jc w:val="left"/>
        <w:rPr>
          <w:rFonts w:ascii="宋体" w:hAnsi="宋体" w:cs="宋体"/>
          <w:snapToGrid w:val="0"/>
          <w:color w:val="auto"/>
          <w:kern w:val="0"/>
          <w:szCs w:val="21"/>
          <w:highlight w:val="none"/>
        </w:rPr>
      </w:pPr>
      <w:r>
        <w:rPr>
          <w:rFonts w:hint="eastAsia" w:ascii="宋体" w:hAnsi="宋体" w:cs="宋体"/>
          <w:snapToGrid w:val="0"/>
          <w:color w:val="auto"/>
          <w:kern w:val="0"/>
          <w:szCs w:val="21"/>
          <w:highlight w:val="none"/>
        </w:rPr>
        <w:t>1.2.2  本比选项目的出资比例：见竞选人须知前附表。</w:t>
      </w:r>
    </w:p>
    <w:p w14:paraId="4DA972ED">
      <w:pPr>
        <w:autoSpaceDE w:val="0"/>
        <w:autoSpaceDN w:val="0"/>
        <w:adjustRightInd w:val="0"/>
        <w:snapToGrid w:val="0"/>
        <w:spacing w:line="360" w:lineRule="auto"/>
        <w:ind w:left="359" w:leftChars="171"/>
        <w:jc w:val="left"/>
        <w:rPr>
          <w:rFonts w:ascii="宋体" w:hAnsi="宋体" w:cs="宋体"/>
          <w:snapToGrid w:val="0"/>
          <w:color w:val="auto"/>
          <w:kern w:val="0"/>
          <w:szCs w:val="21"/>
          <w:highlight w:val="none"/>
        </w:rPr>
      </w:pPr>
      <w:r>
        <w:rPr>
          <w:rFonts w:hint="eastAsia" w:ascii="宋体" w:hAnsi="宋体" w:cs="宋体"/>
          <w:snapToGrid w:val="0"/>
          <w:color w:val="auto"/>
          <w:kern w:val="0"/>
          <w:szCs w:val="21"/>
          <w:highlight w:val="none"/>
        </w:rPr>
        <w:t>1.2.3  本比选项目的资金落实情况：见竞选人须知前附表。</w:t>
      </w:r>
    </w:p>
    <w:p w14:paraId="7821D18E">
      <w:pPr>
        <w:pStyle w:val="5"/>
        <w:snapToGrid w:val="0"/>
        <w:spacing w:line="360" w:lineRule="auto"/>
        <w:rPr>
          <w:rFonts w:ascii="宋体" w:hAnsi="宋体" w:eastAsia="宋体" w:cs="宋体"/>
          <w:snapToGrid w:val="0"/>
          <w:color w:val="auto"/>
          <w:highlight w:val="none"/>
        </w:rPr>
      </w:pPr>
      <w:bookmarkStart w:id="66" w:name="_Toc200513129"/>
      <w:bookmarkStart w:id="67" w:name="_Toc224103320"/>
      <w:r>
        <w:rPr>
          <w:rFonts w:hint="eastAsia" w:ascii="宋体" w:hAnsi="宋体" w:eastAsia="宋体" w:cs="宋体"/>
          <w:snapToGrid w:val="0"/>
          <w:color w:val="auto"/>
          <w:highlight w:val="none"/>
        </w:rPr>
        <w:t>1.3  比选范围、计划工期和质量要求</w:t>
      </w:r>
      <w:bookmarkEnd w:id="66"/>
      <w:bookmarkEnd w:id="67"/>
    </w:p>
    <w:p w14:paraId="3B9D8B29">
      <w:pPr>
        <w:autoSpaceDE w:val="0"/>
        <w:autoSpaceDN w:val="0"/>
        <w:adjustRightInd w:val="0"/>
        <w:snapToGrid w:val="0"/>
        <w:spacing w:line="360" w:lineRule="auto"/>
        <w:ind w:left="359" w:leftChars="171"/>
        <w:jc w:val="left"/>
        <w:rPr>
          <w:rFonts w:ascii="宋体" w:hAnsi="宋体" w:cs="宋体"/>
          <w:snapToGrid w:val="0"/>
          <w:color w:val="auto"/>
          <w:kern w:val="0"/>
          <w:szCs w:val="21"/>
          <w:highlight w:val="none"/>
        </w:rPr>
      </w:pPr>
      <w:r>
        <w:rPr>
          <w:rFonts w:hint="eastAsia" w:ascii="宋体" w:hAnsi="宋体" w:cs="宋体"/>
          <w:snapToGrid w:val="0"/>
          <w:color w:val="auto"/>
          <w:kern w:val="0"/>
          <w:szCs w:val="21"/>
          <w:highlight w:val="none"/>
        </w:rPr>
        <w:t>1.3.1  本次比选范围：见竞选人须知前附表。</w:t>
      </w:r>
    </w:p>
    <w:p w14:paraId="0F22256E">
      <w:pPr>
        <w:autoSpaceDE w:val="0"/>
        <w:autoSpaceDN w:val="0"/>
        <w:adjustRightInd w:val="0"/>
        <w:snapToGrid w:val="0"/>
        <w:spacing w:line="360" w:lineRule="auto"/>
        <w:ind w:left="359" w:leftChars="171"/>
        <w:jc w:val="left"/>
        <w:rPr>
          <w:rFonts w:ascii="宋体" w:hAnsi="宋体" w:cs="宋体"/>
          <w:snapToGrid w:val="0"/>
          <w:color w:val="auto"/>
          <w:kern w:val="0"/>
          <w:szCs w:val="21"/>
          <w:highlight w:val="none"/>
        </w:rPr>
      </w:pPr>
      <w:r>
        <w:rPr>
          <w:rFonts w:hint="eastAsia" w:ascii="宋体" w:hAnsi="宋体" w:cs="宋体"/>
          <w:snapToGrid w:val="0"/>
          <w:color w:val="auto"/>
          <w:kern w:val="0"/>
          <w:szCs w:val="21"/>
          <w:highlight w:val="none"/>
        </w:rPr>
        <w:t>1.3.2  本项目的计划工期：见竞选人须知前附表。</w:t>
      </w:r>
    </w:p>
    <w:p w14:paraId="036C20F2">
      <w:pPr>
        <w:autoSpaceDE w:val="0"/>
        <w:autoSpaceDN w:val="0"/>
        <w:adjustRightInd w:val="0"/>
        <w:snapToGrid w:val="0"/>
        <w:spacing w:line="360" w:lineRule="auto"/>
        <w:ind w:left="359" w:leftChars="171"/>
        <w:jc w:val="left"/>
        <w:rPr>
          <w:rFonts w:ascii="宋体" w:hAnsi="宋体" w:cs="宋体"/>
          <w:snapToGrid w:val="0"/>
          <w:color w:val="auto"/>
          <w:kern w:val="0"/>
          <w:szCs w:val="21"/>
          <w:highlight w:val="none"/>
        </w:rPr>
      </w:pPr>
      <w:r>
        <w:rPr>
          <w:rFonts w:hint="eastAsia" w:ascii="宋体" w:hAnsi="宋体" w:cs="宋体"/>
          <w:snapToGrid w:val="0"/>
          <w:color w:val="auto"/>
          <w:kern w:val="0"/>
          <w:szCs w:val="21"/>
          <w:highlight w:val="none"/>
        </w:rPr>
        <w:t>1.3.3  本项目的质量要求：见竞选人须知前附表。</w:t>
      </w:r>
    </w:p>
    <w:p w14:paraId="538BBFAA">
      <w:pPr>
        <w:pStyle w:val="5"/>
        <w:snapToGrid w:val="0"/>
        <w:spacing w:line="360" w:lineRule="auto"/>
        <w:rPr>
          <w:rFonts w:ascii="宋体" w:hAnsi="宋体" w:eastAsia="宋体" w:cs="宋体"/>
          <w:snapToGrid w:val="0"/>
          <w:color w:val="auto"/>
          <w:szCs w:val="21"/>
          <w:highlight w:val="none"/>
        </w:rPr>
      </w:pPr>
      <w:bookmarkStart w:id="68" w:name="_Toc200513131"/>
      <w:bookmarkStart w:id="69" w:name="_Toc224103322"/>
      <w:r>
        <w:rPr>
          <w:rFonts w:hint="eastAsia" w:ascii="宋体" w:hAnsi="宋体" w:eastAsia="宋体" w:cs="宋体"/>
          <w:snapToGrid w:val="0"/>
          <w:color w:val="auto"/>
          <w:highlight w:val="none"/>
        </w:rPr>
        <w:t>1.4  竞选人资格要求</w:t>
      </w:r>
      <w:bookmarkEnd w:id="68"/>
      <w:bookmarkEnd w:id="69"/>
    </w:p>
    <w:p w14:paraId="00538E4E">
      <w:pPr>
        <w:autoSpaceDE w:val="0"/>
        <w:autoSpaceDN w:val="0"/>
        <w:adjustRightInd w:val="0"/>
        <w:snapToGrid w:val="0"/>
        <w:spacing w:line="360" w:lineRule="auto"/>
        <w:ind w:firstLine="359" w:firstLineChars="171"/>
        <w:jc w:val="left"/>
        <w:rPr>
          <w:rFonts w:ascii="宋体" w:hAnsi="宋体" w:cs="宋体"/>
          <w:snapToGrid w:val="0"/>
          <w:color w:val="auto"/>
          <w:kern w:val="0"/>
          <w:szCs w:val="21"/>
          <w:highlight w:val="none"/>
        </w:rPr>
      </w:pPr>
      <w:r>
        <w:rPr>
          <w:rFonts w:hint="eastAsia" w:ascii="宋体" w:hAnsi="宋体" w:cs="宋体"/>
          <w:snapToGrid w:val="0"/>
          <w:color w:val="auto"/>
          <w:kern w:val="0"/>
          <w:szCs w:val="21"/>
          <w:highlight w:val="none"/>
        </w:rPr>
        <w:t>1.4.1 竞选人应具备承担本项目施工的资格条件、能力。</w:t>
      </w:r>
    </w:p>
    <w:p w14:paraId="714BBA2C">
      <w:pPr>
        <w:autoSpaceDE w:val="0"/>
        <w:autoSpaceDN w:val="0"/>
        <w:adjustRightInd w:val="0"/>
        <w:snapToGrid w:val="0"/>
        <w:spacing w:line="360" w:lineRule="auto"/>
        <w:ind w:firstLine="359" w:firstLineChars="171"/>
        <w:jc w:val="left"/>
        <w:rPr>
          <w:rFonts w:ascii="宋体" w:hAnsi="宋体" w:cs="宋体"/>
          <w:snapToGrid w:val="0"/>
          <w:color w:val="auto"/>
          <w:kern w:val="0"/>
          <w:szCs w:val="21"/>
          <w:highlight w:val="none"/>
        </w:rPr>
      </w:pPr>
      <w:r>
        <w:rPr>
          <w:rFonts w:hint="eastAsia" w:ascii="宋体" w:hAnsi="宋体" w:cs="宋体"/>
          <w:snapToGrid w:val="0"/>
          <w:color w:val="auto"/>
          <w:kern w:val="0"/>
          <w:szCs w:val="21"/>
          <w:highlight w:val="none"/>
        </w:rPr>
        <w:t>（1）项目经理资格：见竞选人须知前附表；</w:t>
      </w:r>
    </w:p>
    <w:p w14:paraId="65D240BB">
      <w:pPr>
        <w:autoSpaceDE w:val="0"/>
        <w:autoSpaceDN w:val="0"/>
        <w:adjustRightInd w:val="0"/>
        <w:snapToGrid w:val="0"/>
        <w:spacing w:line="360" w:lineRule="auto"/>
        <w:ind w:firstLine="359" w:firstLineChars="171"/>
        <w:jc w:val="left"/>
        <w:rPr>
          <w:rFonts w:ascii="宋体" w:hAnsi="宋体" w:cs="宋体"/>
          <w:snapToGrid w:val="0"/>
          <w:color w:val="auto"/>
          <w:kern w:val="0"/>
          <w:szCs w:val="21"/>
          <w:highlight w:val="none"/>
        </w:rPr>
      </w:pPr>
      <w:r>
        <w:rPr>
          <w:rFonts w:hint="eastAsia" w:ascii="宋体" w:hAnsi="宋体" w:cs="宋体"/>
          <w:snapToGrid w:val="0"/>
          <w:color w:val="auto"/>
          <w:kern w:val="0"/>
          <w:szCs w:val="21"/>
          <w:highlight w:val="none"/>
        </w:rPr>
        <w:t>（2）其他要求：见竞选人须知前附表。</w:t>
      </w:r>
    </w:p>
    <w:p w14:paraId="32A36AE9">
      <w:pPr>
        <w:autoSpaceDE w:val="0"/>
        <w:autoSpaceDN w:val="0"/>
        <w:adjustRightInd w:val="0"/>
        <w:snapToGrid w:val="0"/>
        <w:spacing w:line="360" w:lineRule="auto"/>
        <w:ind w:firstLine="359" w:firstLineChars="171"/>
        <w:jc w:val="left"/>
        <w:rPr>
          <w:rFonts w:ascii="宋体" w:hAnsi="宋体" w:cs="宋体"/>
          <w:snapToGrid w:val="0"/>
          <w:color w:val="auto"/>
          <w:kern w:val="0"/>
          <w:szCs w:val="21"/>
          <w:highlight w:val="none"/>
        </w:rPr>
      </w:pPr>
      <w:r>
        <w:rPr>
          <w:rFonts w:hint="eastAsia" w:ascii="宋体" w:hAnsi="宋体" w:cs="宋体"/>
          <w:snapToGrid w:val="0"/>
          <w:color w:val="auto"/>
          <w:kern w:val="0"/>
          <w:szCs w:val="21"/>
          <w:highlight w:val="none"/>
        </w:rPr>
        <w:t>1.4.2 竞选人不得存在下列情形之一：</w:t>
      </w:r>
    </w:p>
    <w:p w14:paraId="7D6FF679">
      <w:pPr>
        <w:autoSpaceDE w:val="0"/>
        <w:autoSpaceDN w:val="0"/>
        <w:adjustRightInd w:val="0"/>
        <w:snapToGrid w:val="0"/>
        <w:spacing w:line="360" w:lineRule="auto"/>
        <w:ind w:firstLine="359" w:firstLineChars="171"/>
        <w:jc w:val="left"/>
        <w:rPr>
          <w:rFonts w:ascii="宋体" w:hAnsi="宋体" w:cs="宋体"/>
          <w:snapToGrid w:val="0"/>
          <w:color w:val="auto"/>
          <w:kern w:val="0"/>
          <w:szCs w:val="21"/>
          <w:highlight w:val="none"/>
        </w:rPr>
      </w:pPr>
      <w:r>
        <w:rPr>
          <w:rFonts w:hint="eastAsia" w:ascii="宋体" w:hAnsi="宋体" w:cs="宋体"/>
          <w:snapToGrid w:val="0"/>
          <w:color w:val="auto"/>
          <w:kern w:val="0"/>
          <w:position w:val="-2"/>
          <w:szCs w:val="21"/>
          <w:highlight w:val="none"/>
        </w:rPr>
        <w:t>（1）与比选人存在利害关系可能影响比选公正性的法人、其他组织或者个人；</w:t>
      </w:r>
    </w:p>
    <w:p w14:paraId="2AD3B13E">
      <w:pPr>
        <w:autoSpaceDE w:val="0"/>
        <w:autoSpaceDN w:val="0"/>
        <w:adjustRightInd w:val="0"/>
        <w:snapToGrid w:val="0"/>
        <w:spacing w:line="360" w:lineRule="auto"/>
        <w:ind w:firstLine="359" w:firstLineChars="171"/>
        <w:jc w:val="left"/>
        <w:rPr>
          <w:rFonts w:ascii="宋体" w:hAnsi="宋体" w:cs="宋体"/>
          <w:snapToGrid w:val="0"/>
          <w:color w:val="auto"/>
          <w:kern w:val="0"/>
          <w:szCs w:val="21"/>
          <w:highlight w:val="none"/>
        </w:rPr>
      </w:pPr>
      <w:r>
        <w:rPr>
          <w:rFonts w:hint="eastAsia" w:ascii="宋体" w:hAnsi="宋体" w:cs="宋体"/>
          <w:snapToGrid w:val="0"/>
          <w:color w:val="auto"/>
          <w:kern w:val="0"/>
          <w:szCs w:val="21"/>
          <w:highlight w:val="none"/>
        </w:rPr>
        <w:t>（2）为本标段前期准备提供设计或咨询服务的，但设计施工总承包的除外；</w:t>
      </w:r>
    </w:p>
    <w:p w14:paraId="71E4F205">
      <w:pPr>
        <w:autoSpaceDE w:val="0"/>
        <w:autoSpaceDN w:val="0"/>
        <w:adjustRightInd w:val="0"/>
        <w:snapToGrid w:val="0"/>
        <w:spacing w:line="360" w:lineRule="auto"/>
        <w:ind w:firstLine="359" w:firstLineChars="171"/>
        <w:jc w:val="left"/>
        <w:rPr>
          <w:rFonts w:ascii="宋体" w:hAnsi="宋体" w:cs="宋体"/>
          <w:snapToGrid w:val="0"/>
          <w:color w:val="auto"/>
          <w:kern w:val="0"/>
          <w:szCs w:val="21"/>
          <w:highlight w:val="none"/>
        </w:rPr>
      </w:pPr>
      <w:r>
        <w:rPr>
          <w:rFonts w:hint="eastAsia" w:ascii="宋体" w:hAnsi="宋体" w:cs="宋体"/>
          <w:snapToGrid w:val="0"/>
          <w:color w:val="auto"/>
          <w:kern w:val="0"/>
          <w:szCs w:val="21"/>
          <w:highlight w:val="none"/>
        </w:rPr>
        <w:t>（3）为本标段的监理人；</w:t>
      </w:r>
    </w:p>
    <w:p w14:paraId="4259F080">
      <w:pPr>
        <w:autoSpaceDE w:val="0"/>
        <w:autoSpaceDN w:val="0"/>
        <w:adjustRightInd w:val="0"/>
        <w:snapToGrid w:val="0"/>
        <w:spacing w:line="360" w:lineRule="auto"/>
        <w:ind w:firstLine="359" w:firstLineChars="171"/>
        <w:jc w:val="left"/>
        <w:rPr>
          <w:rFonts w:ascii="宋体" w:hAnsi="宋体" w:cs="宋体"/>
          <w:snapToGrid w:val="0"/>
          <w:color w:val="auto"/>
          <w:kern w:val="0"/>
          <w:szCs w:val="21"/>
          <w:highlight w:val="none"/>
        </w:rPr>
      </w:pPr>
      <w:r>
        <w:rPr>
          <w:rFonts w:hint="eastAsia" w:ascii="宋体" w:hAnsi="宋体" w:cs="宋体"/>
          <w:snapToGrid w:val="0"/>
          <w:color w:val="auto"/>
          <w:kern w:val="0"/>
          <w:szCs w:val="21"/>
          <w:highlight w:val="none"/>
        </w:rPr>
        <w:t>（4）为本标段的代建人；</w:t>
      </w:r>
    </w:p>
    <w:p w14:paraId="340E19A1">
      <w:pPr>
        <w:autoSpaceDE w:val="0"/>
        <w:autoSpaceDN w:val="0"/>
        <w:adjustRightInd w:val="0"/>
        <w:snapToGrid w:val="0"/>
        <w:spacing w:line="360" w:lineRule="auto"/>
        <w:ind w:firstLine="359" w:firstLineChars="171"/>
        <w:jc w:val="left"/>
        <w:rPr>
          <w:rFonts w:ascii="宋体" w:hAnsi="宋体" w:cs="宋体"/>
          <w:snapToGrid w:val="0"/>
          <w:color w:val="auto"/>
          <w:kern w:val="0"/>
          <w:szCs w:val="21"/>
          <w:highlight w:val="none"/>
        </w:rPr>
      </w:pPr>
      <w:r>
        <w:rPr>
          <w:rFonts w:hint="eastAsia" w:ascii="宋体" w:hAnsi="宋体" w:cs="宋体"/>
          <w:snapToGrid w:val="0"/>
          <w:color w:val="auto"/>
          <w:kern w:val="0"/>
          <w:szCs w:val="21"/>
          <w:highlight w:val="none"/>
        </w:rPr>
        <w:t>（5）为本标段提供比选代理服务的；</w:t>
      </w:r>
    </w:p>
    <w:p w14:paraId="3966086E">
      <w:pPr>
        <w:autoSpaceDE w:val="0"/>
        <w:autoSpaceDN w:val="0"/>
        <w:adjustRightInd w:val="0"/>
        <w:snapToGrid w:val="0"/>
        <w:spacing w:line="360" w:lineRule="auto"/>
        <w:ind w:firstLine="359" w:firstLineChars="171"/>
        <w:jc w:val="left"/>
        <w:rPr>
          <w:rFonts w:ascii="宋体" w:hAnsi="宋体" w:cs="宋体"/>
          <w:snapToGrid w:val="0"/>
          <w:color w:val="auto"/>
          <w:kern w:val="0"/>
          <w:szCs w:val="21"/>
          <w:highlight w:val="none"/>
        </w:rPr>
      </w:pPr>
      <w:r>
        <w:rPr>
          <w:rFonts w:hint="eastAsia" w:ascii="宋体" w:hAnsi="宋体" w:cs="宋体"/>
          <w:snapToGrid w:val="0"/>
          <w:color w:val="auto"/>
          <w:kern w:val="0"/>
          <w:szCs w:val="21"/>
          <w:highlight w:val="none"/>
        </w:rPr>
        <w:t>（6）与本标段的监理人或代建人或比选代理机构同为一个法定代表人的；</w:t>
      </w:r>
    </w:p>
    <w:p w14:paraId="0147B2E4">
      <w:pPr>
        <w:autoSpaceDE w:val="0"/>
        <w:autoSpaceDN w:val="0"/>
        <w:adjustRightInd w:val="0"/>
        <w:snapToGrid w:val="0"/>
        <w:spacing w:line="360" w:lineRule="auto"/>
        <w:ind w:firstLine="359" w:firstLineChars="171"/>
        <w:jc w:val="left"/>
        <w:rPr>
          <w:rFonts w:ascii="宋体" w:hAnsi="宋体" w:cs="宋体"/>
          <w:snapToGrid w:val="0"/>
          <w:color w:val="auto"/>
          <w:kern w:val="0"/>
          <w:szCs w:val="21"/>
          <w:highlight w:val="none"/>
        </w:rPr>
      </w:pPr>
      <w:r>
        <w:rPr>
          <w:rFonts w:hint="eastAsia" w:ascii="宋体" w:hAnsi="宋体" w:cs="宋体"/>
          <w:snapToGrid w:val="0"/>
          <w:color w:val="auto"/>
          <w:kern w:val="0"/>
          <w:szCs w:val="21"/>
          <w:highlight w:val="none"/>
        </w:rPr>
        <w:t>（7）与本标段的监理人或代建人或比选代理机构相互控股或参股的；</w:t>
      </w:r>
    </w:p>
    <w:p w14:paraId="1CB86289">
      <w:pPr>
        <w:autoSpaceDE w:val="0"/>
        <w:autoSpaceDN w:val="0"/>
        <w:adjustRightInd w:val="0"/>
        <w:snapToGrid w:val="0"/>
        <w:spacing w:line="360" w:lineRule="auto"/>
        <w:ind w:firstLine="359" w:firstLineChars="171"/>
        <w:jc w:val="left"/>
        <w:rPr>
          <w:rFonts w:ascii="宋体" w:hAnsi="宋体" w:cs="宋体"/>
          <w:snapToGrid w:val="0"/>
          <w:color w:val="auto"/>
          <w:kern w:val="0"/>
          <w:szCs w:val="21"/>
          <w:highlight w:val="none"/>
        </w:rPr>
      </w:pPr>
      <w:r>
        <w:rPr>
          <w:rFonts w:hint="eastAsia" w:ascii="宋体" w:hAnsi="宋体" w:cs="宋体"/>
          <w:snapToGrid w:val="0"/>
          <w:color w:val="auto"/>
          <w:kern w:val="0"/>
          <w:szCs w:val="21"/>
          <w:highlight w:val="none"/>
        </w:rPr>
        <w:t>（8）与本标段的监理人或代建人或比选代理机构相互任职或工作的；</w:t>
      </w:r>
    </w:p>
    <w:p w14:paraId="7277C870">
      <w:pPr>
        <w:autoSpaceDE w:val="0"/>
        <w:autoSpaceDN w:val="0"/>
        <w:adjustRightInd w:val="0"/>
        <w:snapToGrid w:val="0"/>
        <w:spacing w:line="360" w:lineRule="auto"/>
        <w:ind w:firstLine="359" w:firstLineChars="171"/>
        <w:jc w:val="left"/>
        <w:rPr>
          <w:rFonts w:ascii="宋体" w:hAnsi="宋体" w:cs="宋体"/>
          <w:snapToGrid w:val="0"/>
          <w:color w:val="auto"/>
          <w:kern w:val="0"/>
          <w:szCs w:val="21"/>
          <w:highlight w:val="none"/>
        </w:rPr>
      </w:pPr>
      <w:r>
        <w:rPr>
          <w:rFonts w:hint="eastAsia" w:ascii="宋体" w:hAnsi="宋体" w:cs="宋体"/>
          <w:snapToGrid w:val="0"/>
          <w:color w:val="auto"/>
          <w:kern w:val="0"/>
          <w:szCs w:val="21"/>
          <w:highlight w:val="none"/>
        </w:rPr>
        <w:t>（9）被责令停业的；</w:t>
      </w:r>
    </w:p>
    <w:p w14:paraId="3CD7D659">
      <w:pPr>
        <w:autoSpaceDE w:val="0"/>
        <w:autoSpaceDN w:val="0"/>
        <w:adjustRightInd w:val="0"/>
        <w:snapToGrid w:val="0"/>
        <w:spacing w:line="360" w:lineRule="auto"/>
        <w:ind w:firstLine="359" w:firstLineChars="171"/>
        <w:jc w:val="left"/>
        <w:rPr>
          <w:rFonts w:ascii="宋体" w:hAnsi="宋体" w:cs="宋体"/>
          <w:snapToGrid w:val="0"/>
          <w:color w:val="auto"/>
          <w:kern w:val="0"/>
          <w:szCs w:val="21"/>
          <w:highlight w:val="none"/>
        </w:rPr>
      </w:pPr>
      <w:r>
        <w:rPr>
          <w:rFonts w:hint="eastAsia" w:ascii="宋体" w:hAnsi="宋体" w:cs="宋体"/>
          <w:snapToGrid w:val="0"/>
          <w:color w:val="auto"/>
          <w:kern w:val="0"/>
          <w:szCs w:val="21"/>
          <w:highlight w:val="none"/>
        </w:rPr>
        <w:t>（10）被暂停或取消投标资格的；</w:t>
      </w:r>
    </w:p>
    <w:p w14:paraId="53B69E6E">
      <w:pPr>
        <w:autoSpaceDE w:val="0"/>
        <w:autoSpaceDN w:val="0"/>
        <w:adjustRightInd w:val="0"/>
        <w:snapToGrid w:val="0"/>
        <w:spacing w:line="360" w:lineRule="auto"/>
        <w:ind w:firstLine="359" w:firstLineChars="171"/>
        <w:jc w:val="left"/>
        <w:rPr>
          <w:rFonts w:ascii="宋体" w:hAnsi="宋体" w:cs="宋体"/>
          <w:snapToGrid w:val="0"/>
          <w:color w:val="auto"/>
          <w:kern w:val="0"/>
          <w:szCs w:val="21"/>
          <w:highlight w:val="none"/>
        </w:rPr>
      </w:pPr>
      <w:r>
        <w:rPr>
          <w:rFonts w:hint="eastAsia" w:ascii="宋体" w:hAnsi="宋体" w:cs="宋体"/>
          <w:snapToGrid w:val="0"/>
          <w:color w:val="auto"/>
          <w:kern w:val="0"/>
          <w:szCs w:val="21"/>
          <w:highlight w:val="none"/>
        </w:rPr>
        <w:t>（11）财产被接管或冻结的；</w:t>
      </w:r>
    </w:p>
    <w:p w14:paraId="63A7E1C9">
      <w:pPr>
        <w:autoSpaceDE w:val="0"/>
        <w:autoSpaceDN w:val="0"/>
        <w:adjustRightInd w:val="0"/>
        <w:snapToGrid w:val="0"/>
        <w:spacing w:line="360" w:lineRule="auto"/>
        <w:ind w:firstLine="359" w:firstLineChars="171"/>
        <w:jc w:val="left"/>
        <w:rPr>
          <w:rFonts w:ascii="宋体" w:hAnsi="宋体" w:cs="宋体"/>
          <w:snapToGrid w:val="0"/>
          <w:color w:val="auto"/>
          <w:kern w:val="0"/>
          <w:szCs w:val="21"/>
          <w:highlight w:val="none"/>
        </w:rPr>
      </w:pPr>
      <w:r>
        <w:rPr>
          <w:rFonts w:hint="eastAsia" w:ascii="宋体" w:hAnsi="宋体" w:cs="宋体"/>
          <w:snapToGrid w:val="0"/>
          <w:color w:val="auto"/>
          <w:kern w:val="0"/>
          <w:szCs w:val="21"/>
          <w:highlight w:val="none"/>
        </w:rPr>
        <w:t>（12）单位负责人为同一人或者存在控股、管理关系的不同单位，不得在同一标段中同时投标。</w:t>
      </w:r>
    </w:p>
    <w:p w14:paraId="6773E81F">
      <w:pPr>
        <w:autoSpaceDE w:val="0"/>
        <w:autoSpaceDN w:val="0"/>
        <w:adjustRightInd w:val="0"/>
        <w:snapToGrid w:val="0"/>
        <w:spacing w:line="360" w:lineRule="auto"/>
        <w:ind w:firstLine="359" w:firstLineChars="171"/>
        <w:jc w:val="left"/>
        <w:rPr>
          <w:rFonts w:ascii="宋体" w:hAnsi="宋体" w:cs="宋体"/>
          <w:snapToGrid w:val="0"/>
          <w:color w:val="auto"/>
          <w:kern w:val="0"/>
          <w:szCs w:val="21"/>
          <w:highlight w:val="none"/>
        </w:rPr>
      </w:pPr>
      <w:r>
        <w:rPr>
          <w:rFonts w:hint="eastAsia" w:ascii="宋体" w:hAnsi="宋体" w:cs="宋体"/>
          <w:snapToGrid w:val="0"/>
          <w:color w:val="auto"/>
          <w:kern w:val="0"/>
          <w:szCs w:val="21"/>
          <w:highlight w:val="none"/>
        </w:rPr>
        <w:t>1.4.3 本比选项目不接受联合体投标</w:t>
      </w:r>
    </w:p>
    <w:p w14:paraId="100F72B0">
      <w:pPr>
        <w:pStyle w:val="5"/>
        <w:snapToGrid w:val="0"/>
        <w:spacing w:line="360" w:lineRule="auto"/>
        <w:rPr>
          <w:rFonts w:ascii="宋体" w:hAnsi="宋体" w:eastAsia="宋体" w:cs="宋体"/>
          <w:snapToGrid w:val="0"/>
          <w:color w:val="auto"/>
          <w:highlight w:val="none"/>
        </w:rPr>
      </w:pPr>
      <w:bookmarkStart w:id="70" w:name="_Toc200513132"/>
      <w:bookmarkStart w:id="71" w:name="_Toc224103323"/>
      <w:r>
        <w:rPr>
          <w:rFonts w:hint="eastAsia" w:ascii="宋体" w:hAnsi="宋体" w:eastAsia="宋体" w:cs="宋体"/>
          <w:snapToGrid w:val="0"/>
          <w:color w:val="auto"/>
          <w:highlight w:val="none"/>
        </w:rPr>
        <w:t>1.5  费用承担</w:t>
      </w:r>
      <w:bookmarkEnd w:id="70"/>
      <w:bookmarkEnd w:id="71"/>
    </w:p>
    <w:p w14:paraId="1971BB3B">
      <w:pPr>
        <w:autoSpaceDE w:val="0"/>
        <w:autoSpaceDN w:val="0"/>
        <w:adjustRightInd w:val="0"/>
        <w:snapToGrid w:val="0"/>
        <w:spacing w:line="360" w:lineRule="auto"/>
        <w:ind w:firstLine="420" w:firstLineChars="200"/>
        <w:jc w:val="left"/>
        <w:rPr>
          <w:rFonts w:ascii="宋体" w:hAnsi="宋体" w:cs="宋体"/>
          <w:snapToGrid w:val="0"/>
          <w:color w:val="auto"/>
          <w:kern w:val="0"/>
          <w:szCs w:val="21"/>
          <w:highlight w:val="none"/>
        </w:rPr>
      </w:pPr>
      <w:r>
        <w:rPr>
          <w:rFonts w:hint="eastAsia" w:ascii="宋体" w:hAnsi="宋体" w:cs="宋体"/>
          <w:snapToGrid w:val="0"/>
          <w:color w:val="auto"/>
          <w:kern w:val="0"/>
          <w:szCs w:val="21"/>
          <w:highlight w:val="none"/>
        </w:rPr>
        <w:t>竞选人准备和参加投标活动发生的费用自理。</w:t>
      </w:r>
    </w:p>
    <w:p w14:paraId="7AB57CB4">
      <w:pPr>
        <w:pStyle w:val="5"/>
        <w:snapToGrid w:val="0"/>
        <w:spacing w:line="360" w:lineRule="auto"/>
        <w:rPr>
          <w:rFonts w:ascii="宋体" w:hAnsi="宋体" w:eastAsia="宋体" w:cs="宋体"/>
          <w:snapToGrid w:val="0"/>
          <w:color w:val="auto"/>
          <w:highlight w:val="none"/>
        </w:rPr>
      </w:pPr>
      <w:bookmarkStart w:id="72" w:name="_Toc224103324"/>
      <w:bookmarkStart w:id="73" w:name="_Toc200513133"/>
      <w:r>
        <w:rPr>
          <w:rFonts w:hint="eastAsia" w:ascii="宋体" w:hAnsi="宋体" w:eastAsia="宋体" w:cs="宋体"/>
          <w:snapToGrid w:val="0"/>
          <w:color w:val="auto"/>
          <w:highlight w:val="none"/>
        </w:rPr>
        <w:t>1.6  保密</w:t>
      </w:r>
      <w:bookmarkEnd w:id="72"/>
      <w:bookmarkEnd w:id="73"/>
    </w:p>
    <w:p w14:paraId="17CAFC36">
      <w:pPr>
        <w:autoSpaceDE w:val="0"/>
        <w:autoSpaceDN w:val="0"/>
        <w:adjustRightInd w:val="0"/>
        <w:snapToGrid w:val="0"/>
        <w:spacing w:line="360" w:lineRule="auto"/>
        <w:ind w:firstLine="420"/>
        <w:jc w:val="left"/>
        <w:rPr>
          <w:rFonts w:ascii="宋体" w:hAnsi="宋体" w:cs="宋体"/>
          <w:snapToGrid w:val="0"/>
          <w:color w:val="auto"/>
          <w:kern w:val="0"/>
          <w:szCs w:val="21"/>
          <w:highlight w:val="none"/>
        </w:rPr>
      </w:pPr>
      <w:r>
        <w:rPr>
          <w:rFonts w:hint="eastAsia" w:ascii="宋体" w:hAnsi="宋体" w:cs="宋体"/>
          <w:snapToGrid w:val="0"/>
          <w:color w:val="auto"/>
          <w:kern w:val="0"/>
          <w:szCs w:val="21"/>
          <w:highlight w:val="none"/>
        </w:rPr>
        <w:t>参与比选投标活动的各方应对比选文件和投标文件中的商业和技术等秘密保密，违者应对由此造成的后果承担法律责任。</w:t>
      </w:r>
    </w:p>
    <w:p w14:paraId="3D56E111">
      <w:pPr>
        <w:pStyle w:val="5"/>
        <w:snapToGrid w:val="0"/>
        <w:spacing w:line="360" w:lineRule="auto"/>
        <w:rPr>
          <w:rFonts w:ascii="宋体" w:hAnsi="宋体" w:eastAsia="宋体" w:cs="宋体"/>
          <w:snapToGrid w:val="0"/>
          <w:color w:val="auto"/>
          <w:highlight w:val="none"/>
        </w:rPr>
      </w:pPr>
      <w:bookmarkStart w:id="74" w:name="_Toc224103325"/>
      <w:bookmarkStart w:id="75" w:name="_Toc200513134"/>
      <w:r>
        <w:rPr>
          <w:rFonts w:hint="eastAsia" w:ascii="宋体" w:hAnsi="宋体" w:eastAsia="宋体" w:cs="宋体"/>
          <w:snapToGrid w:val="0"/>
          <w:color w:val="auto"/>
          <w:highlight w:val="none"/>
        </w:rPr>
        <w:t>1.7  语言文字</w:t>
      </w:r>
      <w:bookmarkEnd w:id="74"/>
      <w:bookmarkEnd w:id="75"/>
    </w:p>
    <w:p w14:paraId="67811111">
      <w:pPr>
        <w:autoSpaceDE w:val="0"/>
        <w:autoSpaceDN w:val="0"/>
        <w:adjustRightInd w:val="0"/>
        <w:snapToGrid w:val="0"/>
        <w:spacing w:line="360" w:lineRule="auto"/>
        <w:ind w:firstLine="420" w:firstLineChars="200"/>
        <w:jc w:val="left"/>
        <w:rPr>
          <w:rFonts w:ascii="宋体" w:hAnsi="宋体" w:cs="宋体"/>
          <w:snapToGrid w:val="0"/>
          <w:color w:val="auto"/>
          <w:kern w:val="0"/>
          <w:szCs w:val="21"/>
          <w:highlight w:val="none"/>
        </w:rPr>
      </w:pPr>
      <w:r>
        <w:rPr>
          <w:rFonts w:hint="eastAsia" w:ascii="宋体" w:hAnsi="宋体" w:cs="宋体"/>
          <w:snapToGrid w:val="0"/>
          <w:color w:val="auto"/>
          <w:kern w:val="0"/>
          <w:szCs w:val="21"/>
          <w:highlight w:val="none"/>
        </w:rPr>
        <w:t>除专用术语外，与比选投标有关的语言均使用中文。必要时专用术语应附有中文注释。</w:t>
      </w:r>
    </w:p>
    <w:p w14:paraId="511E8661">
      <w:pPr>
        <w:pStyle w:val="5"/>
        <w:snapToGrid w:val="0"/>
        <w:spacing w:line="360" w:lineRule="auto"/>
        <w:rPr>
          <w:rFonts w:ascii="宋体" w:hAnsi="宋体" w:eastAsia="宋体" w:cs="宋体"/>
          <w:snapToGrid w:val="0"/>
          <w:color w:val="auto"/>
          <w:highlight w:val="none"/>
        </w:rPr>
      </w:pPr>
      <w:bookmarkStart w:id="76" w:name="_Toc200513135"/>
      <w:bookmarkStart w:id="77" w:name="_Toc224103326"/>
      <w:r>
        <w:rPr>
          <w:rFonts w:hint="eastAsia" w:ascii="宋体" w:hAnsi="宋体" w:eastAsia="宋体" w:cs="宋体"/>
          <w:snapToGrid w:val="0"/>
          <w:color w:val="auto"/>
          <w:highlight w:val="none"/>
        </w:rPr>
        <w:t>1.8  计量单位</w:t>
      </w:r>
      <w:bookmarkEnd w:id="76"/>
      <w:bookmarkEnd w:id="77"/>
    </w:p>
    <w:p w14:paraId="56C5E3A8">
      <w:pPr>
        <w:autoSpaceDE w:val="0"/>
        <w:autoSpaceDN w:val="0"/>
        <w:adjustRightInd w:val="0"/>
        <w:snapToGrid w:val="0"/>
        <w:spacing w:line="360" w:lineRule="auto"/>
        <w:ind w:firstLine="424" w:firstLineChars="202"/>
        <w:jc w:val="left"/>
        <w:rPr>
          <w:rFonts w:ascii="宋体" w:hAnsi="宋体" w:cs="宋体"/>
          <w:snapToGrid w:val="0"/>
          <w:color w:val="auto"/>
          <w:kern w:val="0"/>
          <w:szCs w:val="21"/>
          <w:highlight w:val="none"/>
        </w:rPr>
      </w:pPr>
      <w:r>
        <w:rPr>
          <w:rFonts w:hint="eastAsia" w:ascii="宋体" w:hAnsi="宋体" w:cs="宋体"/>
          <w:snapToGrid w:val="0"/>
          <w:color w:val="auto"/>
          <w:kern w:val="0"/>
          <w:szCs w:val="21"/>
          <w:highlight w:val="none"/>
        </w:rPr>
        <w:t>所有计量均采用中华人民共和国法定计量单位。</w:t>
      </w:r>
    </w:p>
    <w:p w14:paraId="5C432B4E">
      <w:pPr>
        <w:pStyle w:val="5"/>
        <w:snapToGrid w:val="0"/>
        <w:spacing w:line="360" w:lineRule="auto"/>
        <w:rPr>
          <w:rFonts w:ascii="宋体" w:hAnsi="宋体" w:eastAsia="宋体" w:cs="宋体"/>
          <w:snapToGrid w:val="0"/>
          <w:color w:val="auto"/>
          <w:highlight w:val="none"/>
        </w:rPr>
      </w:pPr>
      <w:bookmarkStart w:id="78" w:name="_Toc200513136"/>
      <w:bookmarkStart w:id="79" w:name="_Toc224103327"/>
      <w:r>
        <w:rPr>
          <w:rFonts w:hint="eastAsia" w:ascii="宋体" w:hAnsi="宋体" w:eastAsia="宋体" w:cs="宋体"/>
          <w:snapToGrid w:val="0"/>
          <w:color w:val="auto"/>
          <w:highlight w:val="none"/>
        </w:rPr>
        <w:t>1.9  踏勘现场</w:t>
      </w:r>
      <w:bookmarkEnd w:id="78"/>
      <w:bookmarkEnd w:id="79"/>
    </w:p>
    <w:p w14:paraId="64AEE639">
      <w:pPr>
        <w:autoSpaceDE w:val="0"/>
        <w:autoSpaceDN w:val="0"/>
        <w:adjustRightInd w:val="0"/>
        <w:snapToGrid w:val="0"/>
        <w:spacing w:line="360" w:lineRule="auto"/>
        <w:ind w:firstLine="420"/>
        <w:jc w:val="left"/>
        <w:rPr>
          <w:rFonts w:ascii="宋体" w:hAnsi="宋体" w:cs="宋体"/>
          <w:snapToGrid w:val="0"/>
          <w:color w:val="auto"/>
          <w:kern w:val="0"/>
          <w:highlight w:val="none"/>
        </w:rPr>
      </w:pPr>
      <w:r>
        <w:rPr>
          <w:rFonts w:hint="eastAsia" w:ascii="宋体" w:hAnsi="宋体" w:cs="宋体"/>
          <w:snapToGrid w:val="0"/>
          <w:color w:val="auto"/>
          <w:kern w:val="0"/>
          <w:szCs w:val="21"/>
          <w:highlight w:val="none"/>
        </w:rPr>
        <w:t>1.9.1  本次比选项目比选人不组织现场踏勘，由</w:t>
      </w:r>
      <w:r>
        <w:rPr>
          <w:rFonts w:hint="eastAsia" w:ascii="宋体" w:hAnsi="宋体" w:cs="宋体"/>
          <w:snapToGrid w:val="0"/>
          <w:color w:val="auto"/>
          <w:kern w:val="0"/>
          <w:highlight w:val="none"/>
        </w:rPr>
        <w:t>竞选人根据需要自行踏勘项目现场。</w:t>
      </w:r>
    </w:p>
    <w:p w14:paraId="7A9B707A">
      <w:pPr>
        <w:autoSpaceDE w:val="0"/>
        <w:autoSpaceDN w:val="0"/>
        <w:adjustRightInd w:val="0"/>
        <w:snapToGrid w:val="0"/>
        <w:spacing w:line="360" w:lineRule="auto"/>
        <w:ind w:firstLine="420"/>
        <w:jc w:val="left"/>
        <w:rPr>
          <w:rFonts w:ascii="宋体" w:hAnsi="宋体" w:cs="宋体"/>
          <w:snapToGrid w:val="0"/>
          <w:color w:val="auto"/>
          <w:kern w:val="0"/>
          <w:szCs w:val="21"/>
          <w:highlight w:val="none"/>
        </w:rPr>
      </w:pPr>
      <w:r>
        <w:rPr>
          <w:rFonts w:hint="eastAsia" w:ascii="宋体" w:hAnsi="宋体" w:cs="宋体"/>
          <w:snapToGrid w:val="0"/>
          <w:color w:val="auto"/>
          <w:kern w:val="0"/>
          <w:szCs w:val="21"/>
          <w:highlight w:val="none"/>
        </w:rPr>
        <w:t>1.9.2  竞选人踏勘现场发生的费用自理。</w:t>
      </w:r>
    </w:p>
    <w:p w14:paraId="34B808B7">
      <w:pPr>
        <w:autoSpaceDE w:val="0"/>
        <w:autoSpaceDN w:val="0"/>
        <w:adjustRightInd w:val="0"/>
        <w:snapToGrid w:val="0"/>
        <w:spacing w:line="360" w:lineRule="auto"/>
        <w:ind w:firstLine="420"/>
        <w:jc w:val="left"/>
        <w:rPr>
          <w:rFonts w:ascii="宋体" w:hAnsi="宋体" w:cs="宋体"/>
          <w:snapToGrid w:val="0"/>
          <w:color w:val="auto"/>
          <w:kern w:val="0"/>
          <w:szCs w:val="21"/>
          <w:highlight w:val="none"/>
        </w:rPr>
      </w:pPr>
      <w:r>
        <w:rPr>
          <w:rFonts w:hint="eastAsia" w:ascii="宋体" w:hAnsi="宋体" w:cs="宋体"/>
          <w:snapToGrid w:val="0"/>
          <w:color w:val="auto"/>
          <w:kern w:val="0"/>
          <w:szCs w:val="21"/>
          <w:highlight w:val="none"/>
        </w:rPr>
        <w:t>1.9.3  除比选人的原因外，竞选人自行负责在踏勘现场中所发生的人员伤亡和财产损失。</w:t>
      </w:r>
    </w:p>
    <w:p w14:paraId="19F3C36B">
      <w:pPr>
        <w:autoSpaceDE w:val="0"/>
        <w:autoSpaceDN w:val="0"/>
        <w:adjustRightInd w:val="0"/>
        <w:snapToGrid w:val="0"/>
        <w:spacing w:line="360" w:lineRule="auto"/>
        <w:ind w:firstLine="420"/>
        <w:jc w:val="left"/>
        <w:rPr>
          <w:rFonts w:ascii="宋体" w:hAnsi="宋体" w:cs="宋体"/>
          <w:snapToGrid w:val="0"/>
          <w:color w:val="auto"/>
          <w:kern w:val="0"/>
          <w:szCs w:val="21"/>
          <w:highlight w:val="none"/>
        </w:rPr>
      </w:pPr>
      <w:r>
        <w:rPr>
          <w:rFonts w:hint="eastAsia" w:ascii="宋体" w:hAnsi="宋体" w:cs="宋体"/>
          <w:snapToGrid w:val="0"/>
          <w:color w:val="auto"/>
          <w:kern w:val="0"/>
          <w:szCs w:val="21"/>
          <w:highlight w:val="none"/>
        </w:rPr>
        <w:t>1.9.4  竞选人在踏勘现场中获取的工程场地和相关的周边环境情况，供竞选人在编制投标文件时参考，比选人不对竞选人据此做出的判断和决策负责。</w:t>
      </w:r>
    </w:p>
    <w:p w14:paraId="15549973">
      <w:pPr>
        <w:pStyle w:val="5"/>
        <w:snapToGrid w:val="0"/>
        <w:spacing w:line="360" w:lineRule="auto"/>
        <w:rPr>
          <w:rFonts w:ascii="宋体" w:hAnsi="宋体" w:eastAsia="宋体" w:cs="宋体"/>
          <w:snapToGrid w:val="0"/>
          <w:color w:val="auto"/>
          <w:highlight w:val="none"/>
        </w:rPr>
      </w:pPr>
      <w:bookmarkStart w:id="80" w:name="_Toc224103328"/>
      <w:bookmarkStart w:id="81" w:name="_Toc200513137"/>
      <w:r>
        <w:rPr>
          <w:rFonts w:hint="eastAsia" w:ascii="宋体" w:hAnsi="宋体" w:eastAsia="宋体" w:cs="宋体"/>
          <w:snapToGrid w:val="0"/>
          <w:color w:val="auto"/>
          <w:highlight w:val="none"/>
        </w:rPr>
        <w:t>1.10  投标预备会</w:t>
      </w:r>
      <w:bookmarkEnd w:id="80"/>
      <w:bookmarkEnd w:id="81"/>
    </w:p>
    <w:p w14:paraId="7420BA0F">
      <w:pPr>
        <w:autoSpaceDE w:val="0"/>
        <w:autoSpaceDN w:val="0"/>
        <w:adjustRightInd w:val="0"/>
        <w:snapToGrid w:val="0"/>
        <w:spacing w:line="360" w:lineRule="auto"/>
        <w:ind w:firstLine="420"/>
        <w:jc w:val="left"/>
        <w:rPr>
          <w:rFonts w:ascii="宋体" w:hAnsi="宋体" w:cs="宋体"/>
          <w:snapToGrid w:val="0"/>
          <w:color w:val="auto"/>
          <w:kern w:val="0"/>
          <w:szCs w:val="21"/>
          <w:highlight w:val="none"/>
        </w:rPr>
      </w:pPr>
      <w:bookmarkStart w:id="82" w:name="_Toc200513138"/>
      <w:bookmarkStart w:id="83" w:name="_Toc224103329"/>
      <w:r>
        <w:rPr>
          <w:rFonts w:hint="eastAsia" w:ascii="宋体" w:hAnsi="宋体" w:cs="宋体"/>
          <w:color w:val="auto"/>
          <w:szCs w:val="21"/>
          <w:highlight w:val="none"/>
        </w:rPr>
        <w:t xml:space="preserve">1.10.1  </w:t>
      </w:r>
      <w:r>
        <w:rPr>
          <w:rFonts w:hint="eastAsia" w:ascii="宋体" w:hAnsi="宋体" w:cs="宋体"/>
          <w:snapToGrid w:val="0"/>
          <w:color w:val="auto"/>
          <w:kern w:val="0"/>
          <w:szCs w:val="21"/>
          <w:highlight w:val="none"/>
        </w:rPr>
        <w:t>见竞选人须知前附表规定。</w:t>
      </w:r>
    </w:p>
    <w:p w14:paraId="7C90F993">
      <w:pPr>
        <w:spacing w:line="360" w:lineRule="auto"/>
        <w:ind w:firstLine="420" w:firstLineChars="200"/>
        <w:rPr>
          <w:rFonts w:ascii="宋体" w:hAnsi="宋体" w:cs="宋体"/>
          <w:color w:val="auto"/>
          <w:szCs w:val="21"/>
          <w:highlight w:val="none"/>
        </w:rPr>
      </w:pPr>
      <w:r>
        <w:rPr>
          <w:rFonts w:hint="eastAsia" w:ascii="宋体" w:hAnsi="宋体" w:cs="宋体"/>
          <w:color w:val="auto"/>
          <w:szCs w:val="21"/>
          <w:highlight w:val="none"/>
        </w:rPr>
        <w:t>1.10.2  竞选人可在竞选人须知前附表规定的时间前，以书面形式(或传真形式)将提出的问题提交比选人或代理机构。</w:t>
      </w:r>
    </w:p>
    <w:p w14:paraId="51C27571">
      <w:pPr>
        <w:pStyle w:val="5"/>
        <w:snapToGrid w:val="0"/>
        <w:spacing w:line="360" w:lineRule="auto"/>
        <w:ind w:firstLine="411" w:firstLineChars="196"/>
        <w:rPr>
          <w:rFonts w:ascii="宋体" w:hAnsi="宋体" w:eastAsia="宋体" w:cs="宋体"/>
          <w:b w:val="0"/>
          <w:color w:val="auto"/>
          <w:sz w:val="21"/>
          <w:szCs w:val="21"/>
          <w:highlight w:val="none"/>
        </w:rPr>
      </w:pPr>
      <w:r>
        <w:rPr>
          <w:rFonts w:hint="eastAsia" w:ascii="宋体" w:hAnsi="宋体" w:eastAsia="宋体" w:cs="宋体"/>
          <w:b w:val="0"/>
          <w:color w:val="auto"/>
          <w:sz w:val="21"/>
          <w:szCs w:val="21"/>
          <w:highlight w:val="none"/>
        </w:rPr>
        <w:t>1.10.3  比选人在竞选人须知前附表规定的时间内，将对竞选人所提问题的澄清，以书面方式(或传真形式)通知所有购买比选文件的竞选人。该澄清内容为比选文件的组成部分。</w:t>
      </w:r>
    </w:p>
    <w:p w14:paraId="75D5AA22">
      <w:pPr>
        <w:pStyle w:val="5"/>
        <w:snapToGrid w:val="0"/>
        <w:spacing w:line="360" w:lineRule="auto"/>
        <w:rPr>
          <w:rFonts w:ascii="宋体" w:hAnsi="宋体" w:eastAsia="宋体" w:cs="宋体"/>
          <w:snapToGrid w:val="0"/>
          <w:color w:val="auto"/>
          <w:highlight w:val="none"/>
        </w:rPr>
      </w:pPr>
      <w:r>
        <w:rPr>
          <w:rFonts w:hint="eastAsia" w:ascii="宋体" w:hAnsi="宋体" w:eastAsia="宋体" w:cs="宋体"/>
          <w:snapToGrid w:val="0"/>
          <w:color w:val="auto"/>
          <w:highlight w:val="none"/>
        </w:rPr>
        <w:t>1.11  分包</w:t>
      </w:r>
      <w:bookmarkEnd w:id="82"/>
      <w:bookmarkEnd w:id="83"/>
    </w:p>
    <w:p w14:paraId="6802E735">
      <w:pPr>
        <w:spacing w:line="360" w:lineRule="auto"/>
        <w:ind w:firstLine="420" w:firstLineChars="200"/>
        <w:rPr>
          <w:rFonts w:ascii="宋体" w:hAnsi="宋体" w:cs="宋体"/>
          <w:color w:val="auto"/>
          <w:highlight w:val="none"/>
        </w:rPr>
      </w:pPr>
      <w:bookmarkStart w:id="84" w:name="_Toc200513139"/>
      <w:bookmarkStart w:id="85" w:name="_Toc224103330"/>
      <w:r>
        <w:rPr>
          <w:rFonts w:hint="eastAsia" w:ascii="宋体" w:hAnsi="宋体" w:cs="宋体"/>
          <w:color w:val="auto"/>
          <w:highlight w:val="none"/>
        </w:rPr>
        <w:t>本次比选项目比选人不允许分包。</w:t>
      </w:r>
    </w:p>
    <w:p w14:paraId="24F482BB">
      <w:pPr>
        <w:pStyle w:val="5"/>
        <w:snapToGrid w:val="0"/>
        <w:spacing w:line="360" w:lineRule="auto"/>
        <w:rPr>
          <w:rFonts w:ascii="宋体" w:hAnsi="宋体" w:eastAsia="宋体" w:cs="宋体"/>
          <w:snapToGrid w:val="0"/>
          <w:color w:val="auto"/>
          <w:highlight w:val="none"/>
        </w:rPr>
      </w:pPr>
      <w:r>
        <w:rPr>
          <w:rFonts w:hint="eastAsia" w:ascii="宋体" w:hAnsi="宋体" w:eastAsia="宋体" w:cs="宋体"/>
          <w:snapToGrid w:val="0"/>
          <w:color w:val="auto"/>
          <w:highlight w:val="none"/>
        </w:rPr>
        <w:t>1.12  偏离</w:t>
      </w:r>
      <w:bookmarkEnd w:id="84"/>
      <w:bookmarkEnd w:id="85"/>
    </w:p>
    <w:p w14:paraId="1AFA9C0B">
      <w:pPr>
        <w:autoSpaceDE w:val="0"/>
        <w:autoSpaceDN w:val="0"/>
        <w:adjustRightInd w:val="0"/>
        <w:snapToGrid w:val="0"/>
        <w:spacing w:line="360" w:lineRule="auto"/>
        <w:ind w:firstLine="420" w:firstLineChars="200"/>
        <w:jc w:val="left"/>
        <w:rPr>
          <w:rFonts w:ascii="宋体" w:hAnsi="宋体" w:cs="宋体"/>
          <w:snapToGrid w:val="0"/>
          <w:color w:val="auto"/>
          <w:kern w:val="0"/>
          <w:szCs w:val="21"/>
          <w:highlight w:val="none"/>
        </w:rPr>
      </w:pPr>
      <w:bookmarkStart w:id="86" w:name="_Toc224103331"/>
      <w:bookmarkStart w:id="87" w:name="_Toc200513140"/>
      <w:r>
        <w:rPr>
          <w:rFonts w:hint="eastAsia" w:ascii="宋体" w:hAnsi="宋体" w:cs="宋体"/>
          <w:snapToGrid w:val="0"/>
          <w:color w:val="auto"/>
          <w:kern w:val="0"/>
          <w:szCs w:val="21"/>
          <w:highlight w:val="none"/>
        </w:rPr>
        <w:t>本工程比选人不允许竞选人的投标文件偏离比选文件。</w:t>
      </w:r>
    </w:p>
    <w:p w14:paraId="050B5DAF">
      <w:pPr>
        <w:pStyle w:val="4"/>
        <w:rPr>
          <w:rFonts w:ascii="宋体" w:hAnsi="宋体" w:eastAsia="宋体" w:cs="宋体"/>
          <w:snapToGrid w:val="0"/>
          <w:color w:val="auto"/>
          <w:spacing w:val="0"/>
          <w:highlight w:val="none"/>
        </w:rPr>
      </w:pPr>
      <w:bookmarkStart w:id="88" w:name="_Toc7154"/>
      <w:r>
        <w:rPr>
          <w:rFonts w:hint="eastAsia" w:ascii="宋体" w:hAnsi="宋体" w:eastAsia="宋体" w:cs="宋体"/>
          <w:snapToGrid w:val="0"/>
          <w:color w:val="auto"/>
          <w:spacing w:val="0"/>
          <w:highlight w:val="none"/>
        </w:rPr>
        <w:t>2.  比选文件</w:t>
      </w:r>
      <w:bookmarkEnd w:id="86"/>
      <w:bookmarkEnd w:id="87"/>
      <w:bookmarkEnd w:id="88"/>
    </w:p>
    <w:p w14:paraId="66ACB368">
      <w:pPr>
        <w:pStyle w:val="5"/>
        <w:snapToGrid w:val="0"/>
        <w:spacing w:line="360" w:lineRule="auto"/>
        <w:rPr>
          <w:rFonts w:ascii="宋体" w:hAnsi="宋体" w:eastAsia="宋体" w:cs="宋体"/>
          <w:snapToGrid w:val="0"/>
          <w:color w:val="auto"/>
          <w:highlight w:val="none"/>
        </w:rPr>
      </w:pPr>
      <w:bookmarkStart w:id="89" w:name="_Toc224103332"/>
      <w:bookmarkStart w:id="90" w:name="_Toc200513141"/>
      <w:r>
        <w:rPr>
          <w:rFonts w:hint="eastAsia" w:ascii="宋体" w:hAnsi="宋体" w:eastAsia="宋体" w:cs="宋体"/>
          <w:snapToGrid w:val="0"/>
          <w:color w:val="auto"/>
          <w:highlight w:val="none"/>
        </w:rPr>
        <w:t>2.1  比选文件的组成</w:t>
      </w:r>
      <w:bookmarkEnd w:id="89"/>
      <w:bookmarkEnd w:id="90"/>
    </w:p>
    <w:p w14:paraId="3FBDDCC5">
      <w:pPr>
        <w:autoSpaceDE w:val="0"/>
        <w:autoSpaceDN w:val="0"/>
        <w:adjustRightInd w:val="0"/>
        <w:snapToGrid w:val="0"/>
        <w:spacing w:line="360" w:lineRule="auto"/>
        <w:ind w:left="359" w:leftChars="171"/>
        <w:jc w:val="left"/>
        <w:rPr>
          <w:rFonts w:ascii="宋体" w:hAnsi="宋体" w:cs="宋体"/>
          <w:snapToGrid w:val="0"/>
          <w:color w:val="auto"/>
          <w:kern w:val="0"/>
          <w:szCs w:val="21"/>
          <w:highlight w:val="none"/>
        </w:rPr>
      </w:pPr>
      <w:r>
        <w:rPr>
          <w:rFonts w:hint="eastAsia" w:ascii="宋体" w:hAnsi="宋体" w:cs="宋体"/>
          <w:snapToGrid w:val="0"/>
          <w:color w:val="auto"/>
          <w:kern w:val="0"/>
          <w:szCs w:val="21"/>
          <w:highlight w:val="none"/>
        </w:rPr>
        <w:t>本比选文件包括：</w:t>
      </w:r>
    </w:p>
    <w:p w14:paraId="4F5F4A51">
      <w:pPr>
        <w:autoSpaceDE w:val="0"/>
        <w:autoSpaceDN w:val="0"/>
        <w:adjustRightInd w:val="0"/>
        <w:snapToGrid w:val="0"/>
        <w:spacing w:line="360" w:lineRule="auto"/>
        <w:ind w:left="359" w:leftChars="171"/>
        <w:jc w:val="left"/>
        <w:rPr>
          <w:rFonts w:ascii="宋体" w:hAnsi="宋体" w:cs="宋体"/>
          <w:snapToGrid w:val="0"/>
          <w:color w:val="auto"/>
          <w:kern w:val="0"/>
          <w:szCs w:val="21"/>
          <w:highlight w:val="none"/>
        </w:rPr>
      </w:pPr>
      <w:r>
        <w:rPr>
          <w:rFonts w:hint="eastAsia" w:ascii="宋体" w:hAnsi="宋体" w:cs="宋体"/>
          <w:snapToGrid w:val="0"/>
          <w:color w:val="auto"/>
          <w:kern w:val="0"/>
          <w:szCs w:val="21"/>
          <w:highlight w:val="none"/>
        </w:rPr>
        <w:t>（1）比选邀请函；</w:t>
      </w:r>
    </w:p>
    <w:p w14:paraId="51DFAA59">
      <w:pPr>
        <w:autoSpaceDE w:val="0"/>
        <w:autoSpaceDN w:val="0"/>
        <w:adjustRightInd w:val="0"/>
        <w:snapToGrid w:val="0"/>
        <w:spacing w:line="360" w:lineRule="auto"/>
        <w:ind w:left="359" w:leftChars="171"/>
        <w:jc w:val="left"/>
        <w:rPr>
          <w:rFonts w:ascii="宋体" w:hAnsi="宋体" w:cs="宋体"/>
          <w:snapToGrid w:val="0"/>
          <w:color w:val="auto"/>
          <w:kern w:val="0"/>
          <w:szCs w:val="21"/>
          <w:highlight w:val="none"/>
        </w:rPr>
      </w:pPr>
      <w:r>
        <w:rPr>
          <w:rFonts w:hint="eastAsia" w:ascii="宋体" w:hAnsi="宋体" w:cs="宋体"/>
          <w:snapToGrid w:val="0"/>
          <w:color w:val="auto"/>
          <w:kern w:val="0"/>
          <w:szCs w:val="21"/>
          <w:highlight w:val="none"/>
        </w:rPr>
        <w:t>（2）竞选人须知；</w:t>
      </w:r>
    </w:p>
    <w:p w14:paraId="767FA064">
      <w:pPr>
        <w:autoSpaceDE w:val="0"/>
        <w:autoSpaceDN w:val="0"/>
        <w:adjustRightInd w:val="0"/>
        <w:snapToGrid w:val="0"/>
        <w:spacing w:line="360" w:lineRule="auto"/>
        <w:ind w:left="359" w:leftChars="171"/>
        <w:jc w:val="left"/>
        <w:rPr>
          <w:rFonts w:ascii="宋体" w:hAnsi="宋体" w:cs="宋体"/>
          <w:snapToGrid w:val="0"/>
          <w:color w:val="auto"/>
          <w:kern w:val="0"/>
          <w:szCs w:val="21"/>
          <w:highlight w:val="none"/>
        </w:rPr>
      </w:pPr>
      <w:r>
        <w:rPr>
          <w:rFonts w:hint="eastAsia" w:ascii="宋体" w:hAnsi="宋体" w:cs="宋体"/>
          <w:snapToGrid w:val="0"/>
          <w:color w:val="auto"/>
          <w:kern w:val="0"/>
          <w:szCs w:val="21"/>
          <w:highlight w:val="none"/>
        </w:rPr>
        <w:t>（3）评标办法；</w:t>
      </w:r>
    </w:p>
    <w:p w14:paraId="6BBB6C97">
      <w:pPr>
        <w:autoSpaceDE w:val="0"/>
        <w:autoSpaceDN w:val="0"/>
        <w:adjustRightInd w:val="0"/>
        <w:snapToGrid w:val="0"/>
        <w:spacing w:line="440" w:lineRule="exact"/>
        <w:ind w:left="359" w:leftChars="171"/>
        <w:jc w:val="left"/>
        <w:rPr>
          <w:rFonts w:ascii="宋体" w:hAnsi="宋体" w:cs="宋体"/>
          <w:snapToGrid w:val="0"/>
          <w:color w:val="auto"/>
          <w:kern w:val="0"/>
          <w:szCs w:val="21"/>
          <w:highlight w:val="none"/>
        </w:rPr>
      </w:pPr>
      <w:r>
        <w:rPr>
          <w:rFonts w:hint="eastAsia" w:ascii="宋体" w:hAnsi="宋体" w:cs="宋体"/>
          <w:snapToGrid w:val="0"/>
          <w:color w:val="auto"/>
          <w:kern w:val="0"/>
          <w:szCs w:val="21"/>
          <w:highlight w:val="none"/>
        </w:rPr>
        <w:t>（4）合同条款及格式；</w:t>
      </w:r>
    </w:p>
    <w:p w14:paraId="5FBDC425">
      <w:pPr>
        <w:autoSpaceDE w:val="0"/>
        <w:autoSpaceDN w:val="0"/>
        <w:adjustRightInd w:val="0"/>
        <w:snapToGrid w:val="0"/>
        <w:spacing w:line="440" w:lineRule="exact"/>
        <w:ind w:left="359" w:leftChars="171"/>
        <w:jc w:val="left"/>
        <w:rPr>
          <w:rFonts w:ascii="宋体" w:hAnsi="宋体" w:cs="宋体"/>
          <w:snapToGrid w:val="0"/>
          <w:color w:val="auto"/>
          <w:kern w:val="0"/>
          <w:szCs w:val="21"/>
          <w:highlight w:val="none"/>
        </w:rPr>
      </w:pPr>
      <w:r>
        <w:rPr>
          <w:rFonts w:hint="eastAsia" w:ascii="宋体" w:hAnsi="宋体" w:cs="宋体"/>
          <w:snapToGrid w:val="0"/>
          <w:color w:val="auto"/>
          <w:kern w:val="0"/>
          <w:szCs w:val="21"/>
          <w:highlight w:val="none"/>
        </w:rPr>
        <w:t>（5）工程量清单（电子版）；</w:t>
      </w:r>
    </w:p>
    <w:p w14:paraId="73852FEA">
      <w:pPr>
        <w:autoSpaceDE w:val="0"/>
        <w:autoSpaceDN w:val="0"/>
        <w:adjustRightInd w:val="0"/>
        <w:snapToGrid w:val="0"/>
        <w:spacing w:line="440" w:lineRule="exact"/>
        <w:ind w:left="359" w:leftChars="171"/>
        <w:jc w:val="left"/>
        <w:rPr>
          <w:rFonts w:ascii="宋体" w:hAnsi="宋体" w:cs="宋体"/>
          <w:snapToGrid w:val="0"/>
          <w:color w:val="auto"/>
          <w:kern w:val="0"/>
          <w:szCs w:val="21"/>
          <w:highlight w:val="none"/>
        </w:rPr>
      </w:pPr>
      <w:r>
        <w:rPr>
          <w:rFonts w:hint="eastAsia" w:ascii="宋体" w:hAnsi="宋体" w:cs="宋体"/>
          <w:snapToGrid w:val="0"/>
          <w:color w:val="auto"/>
          <w:kern w:val="0"/>
          <w:szCs w:val="21"/>
          <w:highlight w:val="none"/>
        </w:rPr>
        <w:t>（6）图纸（电子版）；</w:t>
      </w:r>
    </w:p>
    <w:p w14:paraId="02FD57D1">
      <w:pPr>
        <w:autoSpaceDE w:val="0"/>
        <w:autoSpaceDN w:val="0"/>
        <w:adjustRightInd w:val="0"/>
        <w:snapToGrid w:val="0"/>
        <w:spacing w:line="440" w:lineRule="exact"/>
        <w:ind w:left="359" w:leftChars="171"/>
        <w:jc w:val="left"/>
        <w:rPr>
          <w:rFonts w:ascii="宋体" w:hAnsi="宋体" w:cs="宋体"/>
          <w:snapToGrid w:val="0"/>
          <w:color w:val="auto"/>
          <w:kern w:val="0"/>
          <w:szCs w:val="21"/>
          <w:highlight w:val="none"/>
        </w:rPr>
      </w:pPr>
      <w:r>
        <w:rPr>
          <w:rFonts w:hint="eastAsia" w:ascii="宋体" w:hAnsi="宋体" w:cs="宋体"/>
          <w:snapToGrid w:val="0"/>
          <w:color w:val="auto"/>
          <w:kern w:val="0"/>
          <w:szCs w:val="21"/>
          <w:highlight w:val="none"/>
        </w:rPr>
        <w:t>（7）技术标准和要求；</w:t>
      </w:r>
    </w:p>
    <w:p w14:paraId="7D85FC41">
      <w:pPr>
        <w:autoSpaceDE w:val="0"/>
        <w:autoSpaceDN w:val="0"/>
        <w:adjustRightInd w:val="0"/>
        <w:snapToGrid w:val="0"/>
        <w:spacing w:line="440" w:lineRule="exact"/>
        <w:ind w:left="359" w:leftChars="171"/>
        <w:jc w:val="left"/>
        <w:rPr>
          <w:rFonts w:ascii="宋体" w:hAnsi="宋体" w:cs="宋体"/>
          <w:snapToGrid w:val="0"/>
          <w:color w:val="auto"/>
          <w:kern w:val="0"/>
          <w:szCs w:val="21"/>
          <w:highlight w:val="none"/>
        </w:rPr>
      </w:pPr>
      <w:r>
        <w:rPr>
          <w:rFonts w:hint="eastAsia" w:ascii="宋体" w:hAnsi="宋体" w:cs="宋体"/>
          <w:snapToGrid w:val="0"/>
          <w:color w:val="auto"/>
          <w:kern w:val="0"/>
          <w:szCs w:val="21"/>
          <w:highlight w:val="none"/>
        </w:rPr>
        <w:t>（8）投标文件格式；</w:t>
      </w:r>
    </w:p>
    <w:p w14:paraId="44C4E729">
      <w:pPr>
        <w:autoSpaceDE w:val="0"/>
        <w:autoSpaceDN w:val="0"/>
        <w:adjustRightInd w:val="0"/>
        <w:snapToGrid w:val="0"/>
        <w:spacing w:line="440" w:lineRule="exact"/>
        <w:ind w:left="359" w:leftChars="171"/>
        <w:jc w:val="left"/>
        <w:rPr>
          <w:rFonts w:ascii="宋体" w:hAnsi="宋体" w:cs="宋体"/>
          <w:snapToGrid w:val="0"/>
          <w:color w:val="auto"/>
          <w:kern w:val="0"/>
          <w:szCs w:val="21"/>
          <w:highlight w:val="none"/>
        </w:rPr>
      </w:pPr>
      <w:r>
        <w:rPr>
          <w:rFonts w:hint="eastAsia" w:ascii="宋体" w:hAnsi="宋体" w:cs="宋体"/>
          <w:snapToGrid w:val="0"/>
          <w:color w:val="auto"/>
          <w:kern w:val="0"/>
          <w:szCs w:val="21"/>
          <w:highlight w:val="none"/>
        </w:rPr>
        <w:t>（9）竞选人须知前附表规定的其他材料。</w:t>
      </w:r>
    </w:p>
    <w:p w14:paraId="30C643DD">
      <w:pPr>
        <w:autoSpaceDE w:val="0"/>
        <w:autoSpaceDN w:val="0"/>
        <w:adjustRightInd w:val="0"/>
        <w:snapToGrid w:val="0"/>
        <w:spacing w:line="440" w:lineRule="exact"/>
        <w:ind w:firstLine="420"/>
        <w:jc w:val="left"/>
        <w:rPr>
          <w:rFonts w:ascii="宋体" w:hAnsi="宋体" w:cs="宋体"/>
          <w:snapToGrid w:val="0"/>
          <w:color w:val="auto"/>
          <w:kern w:val="0"/>
          <w:szCs w:val="21"/>
          <w:highlight w:val="none"/>
        </w:rPr>
      </w:pPr>
      <w:r>
        <w:rPr>
          <w:rFonts w:hint="eastAsia" w:ascii="宋体" w:hAnsi="宋体" w:cs="宋体"/>
          <w:snapToGrid w:val="0"/>
          <w:color w:val="auto"/>
          <w:kern w:val="0"/>
          <w:szCs w:val="21"/>
          <w:highlight w:val="none"/>
        </w:rPr>
        <w:t>根据本章第1.10款、第2.2款和第2.3款对比选文件所作的澄清、修改，构成比选文件的组成部分。</w:t>
      </w:r>
    </w:p>
    <w:p w14:paraId="37D06882">
      <w:pPr>
        <w:pStyle w:val="5"/>
        <w:snapToGrid w:val="0"/>
        <w:spacing w:line="440" w:lineRule="exact"/>
        <w:rPr>
          <w:rFonts w:ascii="宋体" w:hAnsi="宋体" w:eastAsia="宋体" w:cs="宋体"/>
          <w:snapToGrid w:val="0"/>
          <w:color w:val="auto"/>
          <w:highlight w:val="none"/>
        </w:rPr>
      </w:pPr>
      <w:bookmarkStart w:id="91" w:name="_Toc200513142"/>
      <w:bookmarkStart w:id="92" w:name="_Toc224103333"/>
      <w:r>
        <w:rPr>
          <w:rFonts w:hint="eastAsia" w:ascii="宋体" w:hAnsi="宋体" w:eastAsia="宋体" w:cs="宋体"/>
          <w:snapToGrid w:val="0"/>
          <w:color w:val="auto"/>
          <w:highlight w:val="none"/>
        </w:rPr>
        <w:t>2.2  比选文件的澄清</w:t>
      </w:r>
      <w:bookmarkEnd w:id="91"/>
      <w:bookmarkEnd w:id="92"/>
    </w:p>
    <w:p w14:paraId="26071D37">
      <w:pPr>
        <w:autoSpaceDE w:val="0"/>
        <w:autoSpaceDN w:val="0"/>
        <w:adjustRightInd w:val="0"/>
        <w:snapToGrid w:val="0"/>
        <w:spacing w:line="440" w:lineRule="exact"/>
        <w:ind w:firstLine="420"/>
        <w:rPr>
          <w:rFonts w:ascii="宋体" w:hAnsi="宋体" w:cs="宋体"/>
          <w:snapToGrid w:val="0"/>
          <w:color w:val="auto"/>
          <w:kern w:val="0"/>
          <w:szCs w:val="21"/>
          <w:highlight w:val="none"/>
        </w:rPr>
      </w:pPr>
      <w:bookmarkStart w:id="93" w:name="_Toc200513143"/>
      <w:bookmarkStart w:id="94" w:name="_Toc224103334"/>
      <w:r>
        <w:rPr>
          <w:rFonts w:hint="eastAsia" w:ascii="宋体" w:hAnsi="宋体" w:cs="宋体"/>
          <w:snapToGrid w:val="0"/>
          <w:color w:val="auto"/>
          <w:kern w:val="0"/>
          <w:szCs w:val="21"/>
          <w:highlight w:val="none"/>
        </w:rPr>
        <w:t>2.2.1  竞选人应仔细阅读和检查比选文件的全部内容。如发现缺页或附件不全，应及时向</w:t>
      </w:r>
      <w:r>
        <w:rPr>
          <w:rFonts w:hint="eastAsia" w:ascii="宋体" w:hAnsi="宋体" w:cs="宋体"/>
          <w:color w:val="auto"/>
          <w:szCs w:val="21"/>
          <w:highlight w:val="none"/>
        </w:rPr>
        <w:t>比选人</w:t>
      </w:r>
      <w:r>
        <w:rPr>
          <w:rFonts w:hint="eastAsia" w:ascii="宋体" w:hAnsi="宋体" w:cs="宋体"/>
          <w:snapToGrid w:val="0"/>
          <w:color w:val="auto"/>
          <w:kern w:val="0"/>
          <w:szCs w:val="21"/>
          <w:highlight w:val="none"/>
        </w:rPr>
        <w:t>提出，以便补齐。如有疑问，应在竞选人须知前附表规定的时间前以书面形式</w:t>
      </w:r>
      <w:r>
        <w:rPr>
          <w:rFonts w:hint="eastAsia" w:ascii="宋体" w:hAnsi="宋体" w:cs="宋体"/>
          <w:color w:val="auto"/>
          <w:highlight w:val="none"/>
        </w:rPr>
        <w:t>（或传真形式</w:t>
      </w:r>
      <w:r>
        <w:rPr>
          <w:rFonts w:hint="eastAsia" w:ascii="宋体" w:hAnsi="宋体" w:cs="宋体"/>
          <w:snapToGrid w:val="0"/>
          <w:color w:val="auto"/>
          <w:kern w:val="0"/>
          <w:szCs w:val="21"/>
          <w:highlight w:val="none"/>
        </w:rPr>
        <w:t>）要求</w:t>
      </w:r>
      <w:r>
        <w:rPr>
          <w:rFonts w:hint="eastAsia" w:ascii="宋体" w:hAnsi="宋体" w:cs="宋体"/>
          <w:color w:val="auto"/>
          <w:szCs w:val="21"/>
          <w:highlight w:val="none"/>
        </w:rPr>
        <w:t>比选人</w:t>
      </w:r>
      <w:r>
        <w:rPr>
          <w:rFonts w:hint="eastAsia" w:ascii="宋体" w:hAnsi="宋体" w:cs="宋体"/>
          <w:snapToGrid w:val="0"/>
          <w:color w:val="auto"/>
          <w:kern w:val="0"/>
          <w:szCs w:val="21"/>
          <w:highlight w:val="none"/>
        </w:rPr>
        <w:t>对比选文件予以澄清。</w:t>
      </w:r>
    </w:p>
    <w:p w14:paraId="3D2371FF">
      <w:pPr>
        <w:autoSpaceDE w:val="0"/>
        <w:autoSpaceDN w:val="0"/>
        <w:adjustRightInd w:val="0"/>
        <w:snapToGrid w:val="0"/>
        <w:spacing w:line="440" w:lineRule="exact"/>
        <w:ind w:firstLine="420"/>
        <w:rPr>
          <w:rFonts w:ascii="宋体" w:hAnsi="宋体" w:cs="宋体"/>
          <w:snapToGrid w:val="0"/>
          <w:color w:val="auto"/>
          <w:kern w:val="0"/>
          <w:szCs w:val="21"/>
          <w:highlight w:val="none"/>
        </w:rPr>
      </w:pPr>
      <w:r>
        <w:rPr>
          <w:rFonts w:hint="eastAsia" w:ascii="宋体" w:hAnsi="宋体" w:cs="宋体"/>
          <w:snapToGrid w:val="0"/>
          <w:color w:val="auto"/>
          <w:kern w:val="0"/>
          <w:szCs w:val="21"/>
          <w:highlight w:val="none"/>
        </w:rPr>
        <w:t>2.2.2  比选文件的澄清将在竞选人须知前附表规定的投标截止时间前以书面形式</w:t>
      </w:r>
      <w:r>
        <w:rPr>
          <w:rFonts w:hint="eastAsia" w:ascii="宋体" w:hAnsi="宋体" w:cs="宋体"/>
          <w:color w:val="auto"/>
          <w:highlight w:val="none"/>
        </w:rPr>
        <w:t>（或传真形式</w:t>
      </w:r>
      <w:r>
        <w:rPr>
          <w:rFonts w:hint="eastAsia" w:ascii="宋体" w:hAnsi="宋体" w:cs="宋体"/>
          <w:snapToGrid w:val="0"/>
          <w:color w:val="auto"/>
          <w:kern w:val="0"/>
          <w:szCs w:val="21"/>
          <w:highlight w:val="none"/>
        </w:rPr>
        <w:t>）发给所有购买比选文件的竞选人，但不指明澄清问题的来源。</w:t>
      </w:r>
    </w:p>
    <w:p w14:paraId="15C359D3">
      <w:pPr>
        <w:autoSpaceDE w:val="0"/>
        <w:autoSpaceDN w:val="0"/>
        <w:adjustRightInd w:val="0"/>
        <w:snapToGrid w:val="0"/>
        <w:spacing w:line="440" w:lineRule="exact"/>
        <w:ind w:firstLine="420"/>
        <w:rPr>
          <w:rFonts w:ascii="宋体" w:hAnsi="宋体" w:cs="宋体"/>
          <w:snapToGrid w:val="0"/>
          <w:color w:val="auto"/>
          <w:kern w:val="0"/>
          <w:szCs w:val="21"/>
          <w:highlight w:val="none"/>
        </w:rPr>
      </w:pPr>
      <w:r>
        <w:rPr>
          <w:rFonts w:hint="eastAsia" w:ascii="宋体" w:hAnsi="宋体" w:cs="宋体"/>
          <w:snapToGrid w:val="0"/>
          <w:color w:val="auto"/>
          <w:kern w:val="0"/>
          <w:szCs w:val="21"/>
          <w:highlight w:val="none"/>
        </w:rPr>
        <w:t>2.2.3  竞选人在收到澄清后，应在竞选人须知前附表规定的时间内以书面形式</w:t>
      </w:r>
      <w:r>
        <w:rPr>
          <w:rFonts w:hint="eastAsia" w:ascii="宋体" w:hAnsi="宋体" w:cs="宋体"/>
          <w:color w:val="auto"/>
          <w:highlight w:val="none"/>
        </w:rPr>
        <w:t>（或传真形式</w:t>
      </w:r>
      <w:r>
        <w:rPr>
          <w:rFonts w:hint="eastAsia" w:ascii="宋体" w:hAnsi="宋体" w:cs="宋体"/>
          <w:snapToGrid w:val="0"/>
          <w:color w:val="auto"/>
          <w:kern w:val="0"/>
          <w:szCs w:val="21"/>
          <w:highlight w:val="none"/>
        </w:rPr>
        <w:t>）通知</w:t>
      </w:r>
      <w:r>
        <w:rPr>
          <w:rFonts w:hint="eastAsia" w:ascii="宋体" w:hAnsi="宋体" w:cs="宋体"/>
          <w:color w:val="auto"/>
          <w:szCs w:val="21"/>
          <w:highlight w:val="none"/>
        </w:rPr>
        <w:t>比选人</w:t>
      </w:r>
      <w:r>
        <w:rPr>
          <w:rFonts w:hint="eastAsia" w:ascii="宋体" w:hAnsi="宋体" w:cs="宋体"/>
          <w:snapToGrid w:val="0"/>
          <w:color w:val="auto"/>
          <w:kern w:val="0"/>
          <w:szCs w:val="21"/>
          <w:highlight w:val="none"/>
        </w:rPr>
        <w:t>，确认已收到该澄清。</w:t>
      </w:r>
    </w:p>
    <w:p w14:paraId="339619B8">
      <w:pPr>
        <w:pStyle w:val="5"/>
        <w:snapToGrid w:val="0"/>
        <w:spacing w:before="0" w:line="440" w:lineRule="exact"/>
        <w:rPr>
          <w:rFonts w:ascii="宋体" w:hAnsi="宋体" w:eastAsia="宋体" w:cs="宋体"/>
          <w:snapToGrid w:val="0"/>
          <w:color w:val="auto"/>
          <w:highlight w:val="none"/>
        </w:rPr>
      </w:pPr>
      <w:r>
        <w:rPr>
          <w:rFonts w:hint="eastAsia" w:ascii="宋体" w:hAnsi="宋体" w:eastAsia="宋体" w:cs="宋体"/>
          <w:snapToGrid w:val="0"/>
          <w:color w:val="auto"/>
          <w:highlight w:val="none"/>
        </w:rPr>
        <w:t>2.3  比选文件的修改</w:t>
      </w:r>
      <w:bookmarkEnd w:id="93"/>
      <w:bookmarkEnd w:id="94"/>
    </w:p>
    <w:p w14:paraId="54BF61CD">
      <w:pPr>
        <w:autoSpaceDE w:val="0"/>
        <w:autoSpaceDN w:val="0"/>
        <w:adjustRightInd w:val="0"/>
        <w:snapToGrid w:val="0"/>
        <w:spacing w:line="440" w:lineRule="exact"/>
        <w:ind w:firstLine="420" w:firstLineChars="200"/>
        <w:jc w:val="left"/>
        <w:rPr>
          <w:rFonts w:ascii="宋体" w:hAnsi="宋体" w:cs="宋体"/>
          <w:snapToGrid w:val="0"/>
          <w:color w:val="auto"/>
          <w:kern w:val="0"/>
          <w:szCs w:val="21"/>
          <w:highlight w:val="none"/>
        </w:rPr>
      </w:pPr>
      <w:bookmarkStart w:id="95" w:name="_Toc224103335"/>
      <w:bookmarkStart w:id="96" w:name="_Toc200513144"/>
      <w:r>
        <w:rPr>
          <w:rFonts w:hint="eastAsia" w:ascii="宋体" w:hAnsi="宋体" w:cs="宋体"/>
          <w:snapToGrid w:val="0"/>
          <w:color w:val="auto"/>
          <w:kern w:val="0"/>
          <w:szCs w:val="21"/>
          <w:highlight w:val="none"/>
        </w:rPr>
        <w:t xml:space="preserve">2.3.1  </w:t>
      </w:r>
      <w:r>
        <w:rPr>
          <w:rFonts w:hint="eastAsia" w:ascii="宋体" w:hAnsi="宋体" w:cs="宋体"/>
          <w:color w:val="auto"/>
          <w:highlight w:val="none"/>
        </w:rPr>
        <w:t>在比选截止时间前，比选人可以修改比选文件</w:t>
      </w:r>
      <w:r>
        <w:rPr>
          <w:rFonts w:hint="eastAsia" w:ascii="宋体" w:hAnsi="宋体" w:cs="宋体"/>
          <w:snapToGrid w:val="0"/>
          <w:color w:val="auto"/>
          <w:kern w:val="0"/>
          <w:szCs w:val="21"/>
          <w:highlight w:val="none"/>
        </w:rPr>
        <w:t>等资料</w:t>
      </w:r>
      <w:r>
        <w:rPr>
          <w:rFonts w:hint="eastAsia" w:ascii="宋体" w:hAnsi="宋体" w:cs="宋体"/>
          <w:color w:val="auto"/>
          <w:highlight w:val="none"/>
        </w:rPr>
        <w:t>。</w:t>
      </w:r>
    </w:p>
    <w:p w14:paraId="1BCBAC4B">
      <w:pPr>
        <w:autoSpaceDE w:val="0"/>
        <w:autoSpaceDN w:val="0"/>
        <w:adjustRightInd w:val="0"/>
        <w:snapToGrid w:val="0"/>
        <w:spacing w:line="440" w:lineRule="exact"/>
        <w:ind w:firstLine="420" w:firstLineChars="200"/>
        <w:rPr>
          <w:rFonts w:ascii="宋体" w:hAnsi="宋体" w:cs="宋体"/>
          <w:snapToGrid w:val="0"/>
          <w:color w:val="auto"/>
          <w:kern w:val="0"/>
          <w:szCs w:val="21"/>
          <w:highlight w:val="none"/>
        </w:rPr>
      </w:pPr>
      <w:r>
        <w:rPr>
          <w:rFonts w:hint="eastAsia" w:ascii="宋体" w:hAnsi="宋体" w:cs="宋体"/>
          <w:snapToGrid w:val="0"/>
          <w:color w:val="auto"/>
          <w:kern w:val="0"/>
          <w:szCs w:val="21"/>
          <w:highlight w:val="none"/>
        </w:rPr>
        <w:t xml:space="preserve">2.3.2  </w:t>
      </w:r>
      <w:r>
        <w:rPr>
          <w:rFonts w:hint="eastAsia" w:ascii="宋体" w:hAnsi="宋体" w:cs="宋体"/>
          <w:color w:val="auto"/>
          <w:kern w:val="0"/>
          <w:szCs w:val="21"/>
          <w:highlight w:val="none"/>
        </w:rPr>
        <w:t>比选文件的修改都将以书面形式</w:t>
      </w:r>
      <w:r>
        <w:rPr>
          <w:rFonts w:hint="eastAsia" w:ascii="宋体" w:hAnsi="宋体" w:cs="宋体"/>
          <w:color w:val="auto"/>
          <w:highlight w:val="none"/>
        </w:rPr>
        <w:t>（或传真形式</w:t>
      </w:r>
      <w:r>
        <w:rPr>
          <w:rFonts w:hint="eastAsia" w:ascii="宋体" w:hAnsi="宋体" w:cs="宋体"/>
          <w:snapToGrid w:val="0"/>
          <w:color w:val="auto"/>
          <w:kern w:val="0"/>
          <w:szCs w:val="21"/>
          <w:highlight w:val="none"/>
        </w:rPr>
        <w:t>）</w:t>
      </w:r>
      <w:r>
        <w:rPr>
          <w:rFonts w:hint="eastAsia" w:ascii="宋体" w:hAnsi="宋体" w:cs="宋体"/>
          <w:color w:val="auto"/>
          <w:kern w:val="0"/>
          <w:szCs w:val="21"/>
          <w:highlight w:val="none"/>
        </w:rPr>
        <w:t>告知竞选人，比选文件一经比选人修改，都将以修改后的为准，对所有竞选人均产生约束力。</w:t>
      </w:r>
    </w:p>
    <w:p w14:paraId="3CA4829D">
      <w:pPr>
        <w:spacing w:line="440" w:lineRule="exact"/>
        <w:ind w:firstLine="420" w:firstLineChars="200"/>
        <w:rPr>
          <w:rFonts w:ascii="宋体" w:hAnsi="宋体" w:cs="宋体"/>
          <w:color w:val="auto"/>
          <w:kern w:val="0"/>
          <w:szCs w:val="21"/>
          <w:highlight w:val="none"/>
        </w:rPr>
      </w:pPr>
      <w:r>
        <w:rPr>
          <w:rFonts w:hint="eastAsia" w:ascii="宋体" w:hAnsi="宋体" w:cs="宋体"/>
          <w:color w:val="auto"/>
          <w:kern w:val="0"/>
          <w:szCs w:val="21"/>
          <w:highlight w:val="none"/>
        </w:rPr>
        <w:t>2.3.3  电话或口头咨询和答复的意思解释均不具有法律约束力，</w:t>
      </w:r>
      <w:r>
        <w:rPr>
          <w:rFonts w:hint="eastAsia" w:ascii="宋体" w:hAnsi="宋体" w:cs="宋体"/>
          <w:color w:val="auto"/>
          <w:szCs w:val="21"/>
          <w:highlight w:val="none"/>
        </w:rPr>
        <w:t>比选人和代理机构对所有书面和口头咨询有保持缄默的权力</w:t>
      </w:r>
      <w:r>
        <w:rPr>
          <w:rFonts w:hint="eastAsia" w:ascii="宋体" w:hAnsi="宋体" w:cs="宋体"/>
          <w:color w:val="auto"/>
          <w:kern w:val="0"/>
          <w:szCs w:val="21"/>
          <w:highlight w:val="none"/>
        </w:rPr>
        <w:t>。</w:t>
      </w:r>
    </w:p>
    <w:p w14:paraId="64C65A20">
      <w:pPr>
        <w:pStyle w:val="4"/>
        <w:spacing w:line="440" w:lineRule="exact"/>
        <w:rPr>
          <w:rFonts w:ascii="宋体" w:hAnsi="宋体" w:eastAsia="宋体" w:cs="宋体"/>
          <w:snapToGrid w:val="0"/>
          <w:color w:val="auto"/>
          <w:spacing w:val="0"/>
          <w:highlight w:val="none"/>
        </w:rPr>
      </w:pPr>
      <w:bookmarkStart w:id="97" w:name="_Toc21512"/>
      <w:r>
        <w:rPr>
          <w:rFonts w:hint="eastAsia" w:ascii="宋体" w:hAnsi="宋体" w:eastAsia="宋体" w:cs="宋体"/>
          <w:snapToGrid w:val="0"/>
          <w:color w:val="auto"/>
          <w:spacing w:val="0"/>
          <w:highlight w:val="none"/>
        </w:rPr>
        <w:t>3.  竞选文件</w:t>
      </w:r>
      <w:bookmarkEnd w:id="95"/>
      <w:bookmarkEnd w:id="96"/>
      <w:bookmarkEnd w:id="97"/>
    </w:p>
    <w:p w14:paraId="1E44FB23">
      <w:pPr>
        <w:pStyle w:val="5"/>
        <w:snapToGrid w:val="0"/>
        <w:spacing w:line="440" w:lineRule="exact"/>
        <w:rPr>
          <w:rFonts w:ascii="宋体" w:hAnsi="宋体" w:eastAsia="宋体" w:cs="宋体"/>
          <w:snapToGrid w:val="0"/>
          <w:color w:val="auto"/>
          <w:highlight w:val="none"/>
        </w:rPr>
      </w:pPr>
      <w:bookmarkStart w:id="98" w:name="_Toc200513145"/>
      <w:bookmarkStart w:id="99" w:name="_Toc224103336"/>
      <w:r>
        <w:rPr>
          <w:rFonts w:hint="eastAsia" w:ascii="宋体" w:hAnsi="宋体" w:eastAsia="宋体" w:cs="宋体"/>
          <w:snapToGrid w:val="0"/>
          <w:color w:val="auto"/>
          <w:highlight w:val="none"/>
        </w:rPr>
        <w:t>3.1  竞选文件的组成</w:t>
      </w:r>
      <w:bookmarkEnd w:id="98"/>
      <w:bookmarkEnd w:id="99"/>
    </w:p>
    <w:p w14:paraId="59369FCF">
      <w:pPr>
        <w:autoSpaceDE w:val="0"/>
        <w:autoSpaceDN w:val="0"/>
        <w:adjustRightInd w:val="0"/>
        <w:snapToGrid w:val="0"/>
        <w:spacing w:line="440" w:lineRule="exact"/>
        <w:ind w:firstLine="420" w:firstLineChars="200"/>
        <w:rPr>
          <w:rFonts w:ascii="宋体" w:hAnsi="宋体" w:cs="宋体"/>
          <w:snapToGrid w:val="0"/>
          <w:color w:val="auto"/>
          <w:kern w:val="0"/>
          <w:szCs w:val="21"/>
          <w:highlight w:val="none"/>
        </w:rPr>
      </w:pPr>
      <w:r>
        <w:rPr>
          <w:rFonts w:hint="eastAsia" w:ascii="宋体" w:hAnsi="宋体" w:cs="宋体"/>
          <w:snapToGrid w:val="0"/>
          <w:color w:val="auto"/>
          <w:kern w:val="0"/>
          <w:szCs w:val="21"/>
          <w:highlight w:val="none"/>
        </w:rPr>
        <w:t>竞选文件应包括下列内容：</w:t>
      </w:r>
    </w:p>
    <w:p w14:paraId="3CEC7AFF">
      <w:pPr>
        <w:autoSpaceDE w:val="0"/>
        <w:autoSpaceDN w:val="0"/>
        <w:adjustRightInd w:val="0"/>
        <w:snapToGrid w:val="0"/>
        <w:spacing w:line="360" w:lineRule="auto"/>
        <w:ind w:left="359" w:leftChars="171"/>
        <w:rPr>
          <w:rFonts w:ascii="宋体" w:hAnsi="宋体"/>
          <w:snapToGrid w:val="0"/>
          <w:color w:val="auto"/>
          <w:kern w:val="0"/>
          <w:szCs w:val="21"/>
          <w:highlight w:val="none"/>
        </w:rPr>
      </w:pPr>
      <w:bookmarkStart w:id="100" w:name="_Toc224103337"/>
      <w:bookmarkStart w:id="101" w:name="_Toc200513146"/>
      <w:r>
        <w:rPr>
          <w:rFonts w:ascii="宋体" w:hAnsi="宋体"/>
          <w:snapToGrid w:val="0"/>
          <w:color w:val="auto"/>
          <w:kern w:val="0"/>
          <w:szCs w:val="21"/>
          <w:highlight w:val="none"/>
        </w:rPr>
        <w:t>（1）</w:t>
      </w:r>
      <w:r>
        <w:rPr>
          <w:rFonts w:hint="eastAsia" w:ascii="宋体" w:hAnsi="宋体"/>
          <w:snapToGrid w:val="0"/>
          <w:color w:val="auto"/>
          <w:kern w:val="0"/>
          <w:szCs w:val="21"/>
          <w:highlight w:val="none"/>
        </w:rPr>
        <w:t>竞选</w:t>
      </w:r>
      <w:r>
        <w:rPr>
          <w:rFonts w:ascii="宋体" w:hAnsi="宋体"/>
          <w:snapToGrid w:val="0"/>
          <w:color w:val="auto"/>
          <w:kern w:val="0"/>
          <w:szCs w:val="21"/>
          <w:highlight w:val="none"/>
        </w:rPr>
        <w:t>函及</w:t>
      </w:r>
      <w:r>
        <w:rPr>
          <w:rFonts w:hint="eastAsia" w:ascii="宋体" w:hAnsi="宋体"/>
          <w:snapToGrid w:val="0"/>
          <w:color w:val="auto"/>
          <w:kern w:val="0"/>
          <w:szCs w:val="21"/>
          <w:highlight w:val="none"/>
        </w:rPr>
        <w:t>竞选</w:t>
      </w:r>
      <w:r>
        <w:rPr>
          <w:rFonts w:ascii="宋体" w:hAnsi="宋体"/>
          <w:snapToGrid w:val="0"/>
          <w:color w:val="auto"/>
          <w:kern w:val="0"/>
          <w:szCs w:val="21"/>
          <w:highlight w:val="none"/>
        </w:rPr>
        <w:t>函附录；</w:t>
      </w:r>
    </w:p>
    <w:p w14:paraId="77DA85D1">
      <w:pPr>
        <w:autoSpaceDE w:val="0"/>
        <w:autoSpaceDN w:val="0"/>
        <w:adjustRightInd w:val="0"/>
        <w:snapToGrid w:val="0"/>
        <w:spacing w:line="360" w:lineRule="auto"/>
        <w:ind w:left="359" w:leftChars="171"/>
        <w:rPr>
          <w:rFonts w:ascii="宋体" w:hAnsi="宋体"/>
          <w:snapToGrid w:val="0"/>
          <w:color w:val="auto"/>
          <w:kern w:val="0"/>
          <w:szCs w:val="21"/>
          <w:highlight w:val="none"/>
        </w:rPr>
      </w:pPr>
      <w:r>
        <w:rPr>
          <w:rFonts w:ascii="宋体" w:hAnsi="宋体"/>
          <w:snapToGrid w:val="0"/>
          <w:color w:val="auto"/>
          <w:kern w:val="0"/>
          <w:szCs w:val="21"/>
          <w:highlight w:val="none"/>
        </w:rPr>
        <w:t>（2）法定代表人身份证明或附有法定代表人身份证明的授权委托书；</w:t>
      </w:r>
    </w:p>
    <w:p w14:paraId="61522528">
      <w:pPr>
        <w:autoSpaceDE w:val="0"/>
        <w:autoSpaceDN w:val="0"/>
        <w:adjustRightInd w:val="0"/>
        <w:snapToGrid w:val="0"/>
        <w:spacing w:line="360" w:lineRule="auto"/>
        <w:ind w:left="359" w:leftChars="171"/>
        <w:rPr>
          <w:rFonts w:ascii="宋体" w:hAnsi="宋体"/>
          <w:snapToGrid w:val="0"/>
          <w:color w:val="auto"/>
          <w:kern w:val="0"/>
          <w:szCs w:val="21"/>
          <w:highlight w:val="none"/>
        </w:rPr>
      </w:pPr>
      <w:r>
        <w:rPr>
          <w:rFonts w:ascii="宋体" w:hAnsi="宋体"/>
          <w:snapToGrid w:val="0"/>
          <w:color w:val="auto"/>
          <w:kern w:val="0"/>
          <w:szCs w:val="21"/>
          <w:highlight w:val="none"/>
        </w:rPr>
        <w:t>（3）已标价工程量清单；</w:t>
      </w:r>
    </w:p>
    <w:p w14:paraId="3D5D8C4D">
      <w:pPr>
        <w:autoSpaceDE w:val="0"/>
        <w:autoSpaceDN w:val="0"/>
        <w:adjustRightInd w:val="0"/>
        <w:snapToGrid w:val="0"/>
        <w:spacing w:line="360" w:lineRule="auto"/>
        <w:ind w:left="359" w:leftChars="171"/>
        <w:rPr>
          <w:rFonts w:ascii="宋体" w:hAnsi="宋体"/>
          <w:snapToGrid w:val="0"/>
          <w:color w:val="auto"/>
          <w:kern w:val="0"/>
          <w:szCs w:val="21"/>
          <w:highlight w:val="none"/>
        </w:rPr>
      </w:pPr>
      <w:r>
        <w:rPr>
          <w:rFonts w:ascii="宋体" w:hAnsi="宋体"/>
          <w:snapToGrid w:val="0"/>
          <w:color w:val="auto"/>
          <w:kern w:val="0"/>
          <w:szCs w:val="21"/>
          <w:highlight w:val="none"/>
        </w:rPr>
        <w:t>（</w:t>
      </w:r>
      <w:r>
        <w:rPr>
          <w:rFonts w:hint="eastAsia" w:ascii="宋体" w:hAnsi="宋体"/>
          <w:snapToGrid w:val="0"/>
          <w:color w:val="auto"/>
          <w:kern w:val="0"/>
          <w:szCs w:val="21"/>
          <w:highlight w:val="none"/>
        </w:rPr>
        <w:t>4</w:t>
      </w:r>
      <w:r>
        <w:rPr>
          <w:rFonts w:ascii="宋体" w:hAnsi="宋体"/>
          <w:snapToGrid w:val="0"/>
          <w:color w:val="auto"/>
          <w:kern w:val="0"/>
          <w:szCs w:val="21"/>
          <w:highlight w:val="none"/>
        </w:rPr>
        <w:t>）项目管理机构；</w:t>
      </w:r>
    </w:p>
    <w:p w14:paraId="178F2C51">
      <w:pPr>
        <w:autoSpaceDE w:val="0"/>
        <w:autoSpaceDN w:val="0"/>
        <w:adjustRightInd w:val="0"/>
        <w:snapToGrid w:val="0"/>
        <w:spacing w:line="360" w:lineRule="auto"/>
        <w:ind w:left="359" w:leftChars="171"/>
        <w:rPr>
          <w:rFonts w:ascii="宋体" w:hAnsi="宋体"/>
          <w:snapToGrid w:val="0"/>
          <w:color w:val="auto"/>
          <w:kern w:val="0"/>
          <w:szCs w:val="21"/>
          <w:highlight w:val="none"/>
        </w:rPr>
      </w:pPr>
      <w:r>
        <w:rPr>
          <w:rFonts w:ascii="宋体" w:hAnsi="宋体"/>
          <w:snapToGrid w:val="0"/>
          <w:color w:val="auto"/>
          <w:kern w:val="0"/>
          <w:szCs w:val="21"/>
          <w:highlight w:val="none"/>
        </w:rPr>
        <w:t>（</w:t>
      </w:r>
      <w:r>
        <w:rPr>
          <w:rFonts w:hint="eastAsia" w:ascii="宋体" w:hAnsi="宋体"/>
          <w:snapToGrid w:val="0"/>
          <w:color w:val="auto"/>
          <w:kern w:val="0"/>
          <w:szCs w:val="21"/>
          <w:highlight w:val="none"/>
        </w:rPr>
        <w:t>5</w:t>
      </w:r>
      <w:r>
        <w:rPr>
          <w:rFonts w:ascii="宋体" w:hAnsi="宋体"/>
          <w:snapToGrid w:val="0"/>
          <w:color w:val="auto"/>
          <w:kern w:val="0"/>
          <w:szCs w:val="21"/>
          <w:highlight w:val="none"/>
        </w:rPr>
        <w:t>）资格审查资料；</w:t>
      </w:r>
    </w:p>
    <w:p w14:paraId="19ABC82A">
      <w:pPr>
        <w:autoSpaceDE w:val="0"/>
        <w:autoSpaceDN w:val="0"/>
        <w:adjustRightInd w:val="0"/>
        <w:snapToGrid w:val="0"/>
        <w:spacing w:line="360" w:lineRule="auto"/>
        <w:ind w:left="359" w:leftChars="171"/>
        <w:rPr>
          <w:rFonts w:ascii="宋体" w:hAnsi="宋体"/>
          <w:snapToGrid w:val="0"/>
          <w:color w:val="auto"/>
          <w:kern w:val="0"/>
          <w:szCs w:val="21"/>
          <w:highlight w:val="none"/>
        </w:rPr>
      </w:pPr>
      <w:r>
        <w:rPr>
          <w:rFonts w:ascii="宋体" w:hAnsi="宋体"/>
          <w:snapToGrid w:val="0"/>
          <w:color w:val="auto"/>
          <w:kern w:val="0"/>
          <w:szCs w:val="21"/>
          <w:highlight w:val="none"/>
        </w:rPr>
        <w:t>（</w:t>
      </w:r>
      <w:r>
        <w:rPr>
          <w:rFonts w:hint="eastAsia" w:ascii="宋体" w:hAnsi="宋体"/>
          <w:snapToGrid w:val="0"/>
          <w:color w:val="auto"/>
          <w:kern w:val="0"/>
          <w:szCs w:val="21"/>
          <w:highlight w:val="none"/>
        </w:rPr>
        <w:t>6</w:t>
      </w:r>
      <w:r>
        <w:rPr>
          <w:rFonts w:ascii="宋体" w:hAnsi="宋体"/>
          <w:snapToGrid w:val="0"/>
          <w:color w:val="auto"/>
          <w:kern w:val="0"/>
          <w:szCs w:val="21"/>
          <w:highlight w:val="none"/>
        </w:rPr>
        <w:t>）</w:t>
      </w:r>
      <w:r>
        <w:rPr>
          <w:rFonts w:hint="eastAsia" w:ascii="宋体" w:hAnsi="宋体"/>
          <w:snapToGrid w:val="0"/>
          <w:color w:val="auto"/>
          <w:kern w:val="0"/>
          <w:szCs w:val="21"/>
          <w:highlight w:val="none"/>
        </w:rPr>
        <w:t>竞选</w:t>
      </w:r>
      <w:r>
        <w:rPr>
          <w:rFonts w:ascii="宋体" w:hAnsi="宋体"/>
          <w:snapToGrid w:val="0"/>
          <w:color w:val="auto"/>
          <w:kern w:val="0"/>
          <w:szCs w:val="21"/>
          <w:highlight w:val="none"/>
        </w:rPr>
        <w:t>人须知前附表规定的其他材料。</w:t>
      </w:r>
    </w:p>
    <w:p w14:paraId="2621966E">
      <w:pPr>
        <w:pStyle w:val="5"/>
        <w:snapToGrid w:val="0"/>
        <w:spacing w:before="0" w:line="440" w:lineRule="exact"/>
        <w:rPr>
          <w:rFonts w:ascii="宋体" w:hAnsi="宋体" w:eastAsia="宋体" w:cs="宋体"/>
          <w:snapToGrid w:val="0"/>
          <w:color w:val="auto"/>
          <w:highlight w:val="none"/>
        </w:rPr>
      </w:pPr>
      <w:r>
        <w:rPr>
          <w:rFonts w:hint="eastAsia" w:ascii="宋体" w:hAnsi="宋体" w:eastAsia="宋体" w:cs="宋体"/>
          <w:snapToGrid w:val="0"/>
          <w:color w:val="auto"/>
          <w:highlight w:val="none"/>
        </w:rPr>
        <w:t>3.2  竞选报价</w:t>
      </w:r>
      <w:bookmarkEnd w:id="100"/>
      <w:bookmarkEnd w:id="101"/>
    </w:p>
    <w:p w14:paraId="40766A46">
      <w:pPr>
        <w:pStyle w:val="5"/>
        <w:snapToGrid w:val="0"/>
        <w:spacing w:before="0" w:line="440" w:lineRule="exact"/>
        <w:ind w:firstLine="420" w:firstLineChars="200"/>
        <w:jc w:val="both"/>
        <w:rPr>
          <w:rFonts w:ascii="宋体" w:hAnsi="宋体" w:eastAsia="宋体" w:cs="宋体"/>
          <w:b w:val="0"/>
          <w:color w:val="auto"/>
          <w:sz w:val="21"/>
          <w:szCs w:val="21"/>
          <w:highlight w:val="none"/>
        </w:rPr>
      </w:pPr>
      <w:r>
        <w:rPr>
          <w:rFonts w:hint="eastAsia" w:ascii="宋体" w:hAnsi="宋体" w:eastAsia="宋体" w:cs="宋体"/>
          <w:b w:val="0"/>
          <w:color w:val="auto"/>
          <w:sz w:val="21"/>
          <w:szCs w:val="21"/>
          <w:highlight w:val="none"/>
        </w:rPr>
        <w:t>见竞选人须知前附表</w:t>
      </w:r>
    </w:p>
    <w:p w14:paraId="269B9EBA">
      <w:pPr>
        <w:pStyle w:val="5"/>
        <w:snapToGrid w:val="0"/>
        <w:spacing w:before="0" w:line="360" w:lineRule="auto"/>
        <w:rPr>
          <w:rFonts w:ascii="宋体" w:hAnsi="宋体" w:eastAsia="宋体" w:cs="宋体"/>
          <w:snapToGrid w:val="0"/>
          <w:color w:val="auto"/>
          <w:highlight w:val="none"/>
        </w:rPr>
      </w:pPr>
      <w:bookmarkStart w:id="102" w:name="_Toc224103338"/>
      <w:bookmarkStart w:id="103" w:name="_Toc200513147"/>
      <w:r>
        <w:rPr>
          <w:rFonts w:hint="eastAsia" w:ascii="宋体" w:hAnsi="宋体" w:eastAsia="宋体" w:cs="宋体"/>
          <w:snapToGrid w:val="0"/>
          <w:color w:val="auto"/>
          <w:highlight w:val="none"/>
        </w:rPr>
        <w:t>3.3  竞选有效期</w:t>
      </w:r>
      <w:bookmarkEnd w:id="102"/>
      <w:bookmarkEnd w:id="103"/>
    </w:p>
    <w:p w14:paraId="6C763026">
      <w:pPr>
        <w:autoSpaceDE w:val="0"/>
        <w:autoSpaceDN w:val="0"/>
        <w:adjustRightInd w:val="0"/>
        <w:snapToGrid w:val="0"/>
        <w:spacing w:line="360" w:lineRule="auto"/>
        <w:ind w:firstLine="420"/>
        <w:jc w:val="left"/>
        <w:rPr>
          <w:rFonts w:ascii="宋体" w:hAnsi="宋体" w:cs="宋体"/>
          <w:snapToGrid w:val="0"/>
          <w:color w:val="auto"/>
          <w:kern w:val="0"/>
          <w:szCs w:val="21"/>
          <w:highlight w:val="none"/>
        </w:rPr>
      </w:pPr>
      <w:r>
        <w:rPr>
          <w:rFonts w:hint="eastAsia" w:ascii="宋体" w:hAnsi="宋体" w:cs="宋体"/>
          <w:snapToGrid w:val="0"/>
          <w:color w:val="auto"/>
          <w:kern w:val="0"/>
          <w:szCs w:val="21"/>
          <w:highlight w:val="none"/>
        </w:rPr>
        <w:t>3.3.1  在竞选人须知前附表规定的竞选有效期内，竞选人不得要求撤销或修改其竞选文件。</w:t>
      </w:r>
    </w:p>
    <w:p w14:paraId="393AFDB6">
      <w:pPr>
        <w:autoSpaceDE w:val="0"/>
        <w:autoSpaceDN w:val="0"/>
        <w:adjustRightInd w:val="0"/>
        <w:snapToGrid w:val="0"/>
        <w:spacing w:line="360" w:lineRule="auto"/>
        <w:ind w:firstLine="420"/>
        <w:rPr>
          <w:rFonts w:ascii="宋体" w:hAnsi="宋体" w:cs="宋体"/>
          <w:snapToGrid w:val="0"/>
          <w:color w:val="auto"/>
          <w:kern w:val="0"/>
          <w:szCs w:val="21"/>
          <w:highlight w:val="none"/>
        </w:rPr>
      </w:pPr>
      <w:r>
        <w:rPr>
          <w:rFonts w:hint="eastAsia" w:ascii="宋体" w:hAnsi="宋体" w:cs="宋体"/>
          <w:snapToGrid w:val="0"/>
          <w:color w:val="auto"/>
          <w:kern w:val="0"/>
          <w:szCs w:val="21"/>
          <w:highlight w:val="none"/>
        </w:rPr>
        <w:t>3.3.2  出现特殊情况需要延长竞选有效期的，比选人以书面形式</w:t>
      </w:r>
      <w:r>
        <w:rPr>
          <w:rFonts w:hint="eastAsia" w:ascii="宋体" w:hAnsi="宋体" w:cs="宋体"/>
          <w:color w:val="auto"/>
          <w:highlight w:val="none"/>
        </w:rPr>
        <w:t>（或传真形式</w:t>
      </w:r>
      <w:r>
        <w:rPr>
          <w:rFonts w:hint="eastAsia" w:ascii="宋体" w:hAnsi="宋体" w:cs="宋体"/>
          <w:snapToGrid w:val="0"/>
          <w:color w:val="auto"/>
          <w:kern w:val="0"/>
          <w:szCs w:val="21"/>
          <w:highlight w:val="none"/>
        </w:rPr>
        <w:t>）通知所有竞选人延长竞选有效期。竞选人同意延长的，不得要求或被允许修改或撤销其竞选文件；竞选人拒绝延长的，其投标失效.</w:t>
      </w:r>
    </w:p>
    <w:p w14:paraId="2384AAFC">
      <w:pPr>
        <w:pStyle w:val="5"/>
        <w:snapToGrid w:val="0"/>
        <w:spacing w:before="0" w:line="360" w:lineRule="auto"/>
        <w:rPr>
          <w:rFonts w:ascii="宋体" w:hAnsi="宋体" w:eastAsia="宋体" w:cs="宋体"/>
          <w:snapToGrid w:val="0"/>
          <w:color w:val="auto"/>
          <w:highlight w:val="none"/>
        </w:rPr>
      </w:pPr>
      <w:bookmarkStart w:id="104" w:name="_Toc200513148"/>
      <w:bookmarkStart w:id="105" w:name="_Toc248058247"/>
      <w:r>
        <w:rPr>
          <w:rFonts w:hint="eastAsia" w:ascii="宋体" w:hAnsi="宋体" w:eastAsia="宋体" w:cs="宋体"/>
          <w:snapToGrid w:val="0"/>
          <w:color w:val="auto"/>
          <w:highlight w:val="none"/>
        </w:rPr>
        <w:t>3.4  竞选保证金</w:t>
      </w:r>
      <w:bookmarkEnd w:id="104"/>
      <w:bookmarkEnd w:id="105"/>
    </w:p>
    <w:p w14:paraId="63706B06">
      <w:pPr>
        <w:pStyle w:val="5"/>
        <w:snapToGrid w:val="0"/>
        <w:spacing w:before="0" w:line="360" w:lineRule="auto"/>
        <w:ind w:firstLine="420" w:firstLineChars="200"/>
        <w:rPr>
          <w:rFonts w:ascii="宋体" w:hAnsi="宋体" w:eastAsia="宋体" w:cs="宋体"/>
          <w:b w:val="0"/>
          <w:snapToGrid w:val="0"/>
          <w:color w:val="auto"/>
          <w:sz w:val="21"/>
          <w:szCs w:val="21"/>
          <w:highlight w:val="none"/>
        </w:rPr>
      </w:pPr>
      <w:bookmarkStart w:id="106" w:name="_Toc200513150"/>
      <w:bookmarkStart w:id="107" w:name="_Toc224103341"/>
      <w:r>
        <w:rPr>
          <w:rFonts w:hint="eastAsia" w:ascii="宋体" w:hAnsi="宋体" w:eastAsia="宋体" w:cs="宋体"/>
          <w:b w:val="0"/>
          <w:snapToGrid w:val="0"/>
          <w:color w:val="auto"/>
          <w:sz w:val="21"/>
          <w:szCs w:val="21"/>
          <w:highlight w:val="none"/>
        </w:rPr>
        <w:t>见竞选人须知前附表</w:t>
      </w:r>
    </w:p>
    <w:p w14:paraId="712BBB19">
      <w:pPr>
        <w:pStyle w:val="5"/>
        <w:snapToGrid w:val="0"/>
        <w:spacing w:before="0" w:line="360" w:lineRule="auto"/>
        <w:rPr>
          <w:rFonts w:ascii="宋体" w:hAnsi="宋体" w:eastAsia="宋体" w:cs="宋体"/>
          <w:snapToGrid w:val="0"/>
          <w:color w:val="auto"/>
          <w:highlight w:val="none"/>
        </w:rPr>
      </w:pPr>
      <w:r>
        <w:rPr>
          <w:rFonts w:hint="eastAsia" w:ascii="宋体" w:hAnsi="宋体" w:eastAsia="宋体" w:cs="宋体"/>
          <w:snapToGrid w:val="0"/>
          <w:color w:val="auto"/>
          <w:highlight w:val="none"/>
        </w:rPr>
        <w:t>3.5  资格审查资料</w:t>
      </w:r>
      <w:bookmarkEnd w:id="106"/>
      <w:bookmarkEnd w:id="107"/>
    </w:p>
    <w:p w14:paraId="2FB68171">
      <w:pPr>
        <w:spacing w:line="360" w:lineRule="auto"/>
        <w:ind w:firstLine="420" w:firstLineChars="200"/>
        <w:rPr>
          <w:rFonts w:ascii="宋体" w:hAnsi="宋体" w:cs="宋体"/>
          <w:snapToGrid w:val="0"/>
          <w:color w:val="auto"/>
          <w:kern w:val="0"/>
          <w:szCs w:val="21"/>
          <w:highlight w:val="none"/>
        </w:rPr>
      </w:pPr>
      <w:r>
        <w:rPr>
          <w:rFonts w:hint="eastAsia" w:ascii="宋体" w:hAnsi="宋体" w:cs="宋体"/>
          <w:snapToGrid w:val="0"/>
          <w:color w:val="auto"/>
          <w:kern w:val="0"/>
          <w:szCs w:val="21"/>
          <w:highlight w:val="none"/>
        </w:rPr>
        <w:t>见竞选人须知前附表</w:t>
      </w:r>
      <w:r>
        <w:rPr>
          <w:rFonts w:hint="eastAsia" w:ascii="宋体" w:hAnsi="宋体" w:cs="宋体"/>
          <w:snapToGrid w:val="0"/>
          <w:color w:val="auto"/>
          <w:kern w:val="0"/>
          <w:szCs w:val="21"/>
          <w:highlight w:val="none"/>
        </w:rPr>
        <w:tab/>
      </w:r>
    </w:p>
    <w:p w14:paraId="64EDDAF2">
      <w:pPr>
        <w:pStyle w:val="5"/>
        <w:snapToGrid w:val="0"/>
        <w:spacing w:before="0" w:line="360" w:lineRule="auto"/>
        <w:rPr>
          <w:rFonts w:ascii="宋体" w:hAnsi="宋体" w:eastAsia="宋体" w:cs="宋体"/>
          <w:snapToGrid w:val="0"/>
          <w:color w:val="auto"/>
          <w:highlight w:val="none"/>
        </w:rPr>
      </w:pPr>
      <w:bookmarkStart w:id="108" w:name="_Toc224103342"/>
      <w:bookmarkStart w:id="109" w:name="_Toc200513151"/>
      <w:r>
        <w:rPr>
          <w:rFonts w:hint="eastAsia" w:ascii="宋体" w:hAnsi="宋体" w:eastAsia="宋体" w:cs="宋体"/>
          <w:snapToGrid w:val="0"/>
          <w:color w:val="auto"/>
          <w:highlight w:val="none"/>
        </w:rPr>
        <w:t>3.6  备选竞选方案</w:t>
      </w:r>
      <w:bookmarkEnd w:id="108"/>
      <w:bookmarkEnd w:id="109"/>
    </w:p>
    <w:p w14:paraId="7C86905A">
      <w:pPr>
        <w:autoSpaceDE w:val="0"/>
        <w:autoSpaceDN w:val="0"/>
        <w:adjustRightInd w:val="0"/>
        <w:snapToGrid w:val="0"/>
        <w:spacing w:line="360" w:lineRule="auto"/>
        <w:ind w:firstLine="420"/>
        <w:rPr>
          <w:rFonts w:ascii="宋体" w:hAnsi="宋体" w:cs="宋体"/>
          <w:snapToGrid w:val="0"/>
          <w:color w:val="auto"/>
          <w:kern w:val="0"/>
          <w:szCs w:val="21"/>
          <w:highlight w:val="none"/>
        </w:rPr>
      </w:pPr>
      <w:r>
        <w:rPr>
          <w:rFonts w:hint="eastAsia" w:ascii="宋体" w:hAnsi="宋体" w:cs="宋体"/>
          <w:snapToGrid w:val="0"/>
          <w:color w:val="auto"/>
          <w:kern w:val="0"/>
          <w:szCs w:val="21"/>
          <w:highlight w:val="none"/>
        </w:rPr>
        <w:t>比选人不接受备选竞选方案。</w:t>
      </w:r>
    </w:p>
    <w:p w14:paraId="7DAABF57">
      <w:pPr>
        <w:pStyle w:val="5"/>
        <w:snapToGrid w:val="0"/>
        <w:spacing w:before="0" w:line="360" w:lineRule="auto"/>
        <w:rPr>
          <w:rFonts w:ascii="宋体" w:hAnsi="宋体" w:eastAsia="宋体" w:cs="宋体"/>
          <w:snapToGrid w:val="0"/>
          <w:color w:val="auto"/>
          <w:highlight w:val="none"/>
        </w:rPr>
      </w:pPr>
      <w:bookmarkStart w:id="110" w:name="_Toc200513152"/>
      <w:bookmarkStart w:id="111" w:name="_Toc224103343"/>
      <w:r>
        <w:rPr>
          <w:rFonts w:hint="eastAsia" w:ascii="宋体" w:hAnsi="宋体" w:eastAsia="宋体" w:cs="宋体"/>
          <w:snapToGrid w:val="0"/>
          <w:color w:val="auto"/>
          <w:highlight w:val="none"/>
        </w:rPr>
        <w:t>3.7  竞选文件的编制</w:t>
      </w:r>
      <w:bookmarkEnd w:id="110"/>
      <w:bookmarkEnd w:id="111"/>
    </w:p>
    <w:p w14:paraId="063A2C58">
      <w:pPr>
        <w:autoSpaceDE w:val="0"/>
        <w:autoSpaceDN w:val="0"/>
        <w:adjustRightInd w:val="0"/>
        <w:snapToGrid w:val="0"/>
        <w:spacing w:line="360" w:lineRule="auto"/>
        <w:ind w:firstLine="420"/>
        <w:rPr>
          <w:rFonts w:ascii="宋体" w:hAnsi="宋体" w:cs="宋体"/>
          <w:snapToGrid w:val="0"/>
          <w:color w:val="auto"/>
          <w:kern w:val="0"/>
          <w:szCs w:val="21"/>
          <w:highlight w:val="none"/>
        </w:rPr>
      </w:pPr>
      <w:r>
        <w:rPr>
          <w:rFonts w:hint="eastAsia" w:ascii="宋体" w:hAnsi="宋体" w:cs="宋体"/>
          <w:snapToGrid w:val="0"/>
          <w:color w:val="auto"/>
          <w:kern w:val="0"/>
          <w:szCs w:val="21"/>
          <w:highlight w:val="none"/>
        </w:rPr>
        <w:t>3.7.1  竞选文件应按第七章“竞选文件格式”进行编写，如有必要，可以增加附页，作为竞选文件的组成部分。</w:t>
      </w:r>
    </w:p>
    <w:p w14:paraId="6AB10CDF">
      <w:pPr>
        <w:autoSpaceDE w:val="0"/>
        <w:autoSpaceDN w:val="0"/>
        <w:adjustRightInd w:val="0"/>
        <w:snapToGrid w:val="0"/>
        <w:spacing w:line="360" w:lineRule="auto"/>
        <w:ind w:firstLine="424" w:firstLineChars="202"/>
        <w:jc w:val="left"/>
        <w:rPr>
          <w:rFonts w:ascii="宋体" w:hAnsi="宋体" w:cs="宋体"/>
          <w:snapToGrid w:val="0"/>
          <w:color w:val="auto"/>
          <w:kern w:val="0"/>
          <w:szCs w:val="21"/>
          <w:highlight w:val="none"/>
        </w:rPr>
      </w:pPr>
      <w:r>
        <w:rPr>
          <w:rFonts w:hint="eastAsia" w:ascii="宋体" w:hAnsi="宋体" w:cs="宋体"/>
          <w:snapToGrid w:val="0"/>
          <w:color w:val="auto"/>
          <w:kern w:val="0"/>
          <w:position w:val="-2"/>
          <w:szCs w:val="21"/>
          <w:highlight w:val="none"/>
        </w:rPr>
        <w:t>3.7.3  竞选文件应用不褪色的材料书写或打印或复印，并由竞选人的法定代表人或其委托代理</w:t>
      </w:r>
      <w:r>
        <w:rPr>
          <w:rFonts w:hint="eastAsia" w:ascii="宋体" w:hAnsi="宋体" w:cs="宋体"/>
          <w:snapToGrid w:val="0"/>
          <w:color w:val="auto"/>
          <w:kern w:val="0"/>
          <w:szCs w:val="21"/>
          <w:highlight w:val="none"/>
        </w:rPr>
        <w:t>人签字、盖单位公章。委托代理人签字的，竞选文件应附法定代表人签署的授权委托书。竞选文件应尽量避免涂改、行间插字或删除。如果出现上述情况，改动之处应加盖单位公章或由竞选人的法定代表人或其授权的代理人签字确认。签字、盖章的具体要求见竞选人须知前附表。</w:t>
      </w:r>
    </w:p>
    <w:p w14:paraId="5B5A366D">
      <w:pPr>
        <w:autoSpaceDE w:val="0"/>
        <w:autoSpaceDN w:val="0"/>
        <w:adjustRightInd w:val="0"/>
        <w:snapToGrid w:val="0"/>
        <w:spacing w:line="360" w:lineRule="auto"/>
        <w:ind w:firstLine="426"/>
        <w:jc w:val="left"/>
        <w:rPr>
          <w:rFonts w:ascii="宋体" w:hAnsi="宋体" w:cs="宋体"/>
          <w:snapToGrid w:val="0"/>
          <w:color w:val="auto"/>
          <w:kern w:val="0"/>
          <w:szCs w:val="21"/>
          <w:highlight w:val="none"/>
        </w:rPr>
      </w:pPr>
      <w:r>
        <w:rPr>
          <w:rFonts w:hint="eastAsia" w:ascii="宋体" w:hAnsi="宋体" w:cs="宋体"/>
          <w:snapToGrid w:val="0"/>
          <w:color w:val="auto"/>
          <w:kern w:val="0"/>
          <w:szCs w:val="21"/>
          <w:highlight w:val="none"/>
        </w:rPr>
        <w:t>3.7.4  竞选文件正本一份，副本二份。正本和副本的封面上应清楚地标记“正本”或“副本”的字样。当副本和正本不一致时，以正本为准。</w:t>
      </w:r>
    </w:p>
    <w:p w14:paraId="2DCE62DD">
      <w:pPr>
        <w:autoSpaceDE w:val="0"/>
        <w:autoSpaceDN w:val="0"/>
        <w:adjustRightInd w:val="0"/>
        <w:snapToGrid w:val="0"/>
        <w:spacing w:line="360" w:lineRule="auto"/>
        <w:ind w:firstLine="426"/>
        <w:jc w:val="left"/>
        <w:rPr>
          <w:rFonts w:ascii="宋体" w:hAnsi="宋体" w:cs="宋体"/>
          <w:snapToGrid w:val="0"/>
          <w:color w:val="auto"/>
          <w:kern w:val="0"/>
          <w:sz w:val="24"/>
          <w:highlight w:val="none"/>
        </w:rPr>
      </w:pPr>
      <w:r>
        <w:rPr>
          <w:rFonts w:hint="eastAsia" w:ascii="宋体" w:hAnsi="宋体" w:cs="宋体"/>
          <w:snapToGrid w:val="0"/>
          <w:color w:val="auto"/>
          <w:kern w:val="0"/>
          <w:szCs w:val="21"/>
          <w:highlight w:val="none"/>
        </w:rPr>
        <w:t>3.7.5  竞选文件的“正本”与“副本”应分别装订成册，具体装订要求见竞选人须知前附表规定。</w:t>
      </w:r>
    </w:p>
    <w:p w14:paraId="44C5D1B3">
      <w:pPr>
        <w:pStyle w:val="4"/>
        <w:rPr>
          <w:rFonts w:ascii="宋体" w:hAnsi="宋体" w:eastAsia="宋体" w:cs="宋体"/>
          <w:snapToGrid w:val="0"/>
          <w:color w:val="auto"/>
          <w:spacing w:val="0"/>
          <w:highlight w:val="none"/>
        </w:rPr>
      </w:pPr>
      <w:bookmarkStart w:id="112" w:name="_Toc224103344"/>
      <w:bookmarkStart w:id="113" w:name="_Toc200513153"/>
      <w:bookmarkStart w:id="114" w:name="_Toc26342"/>
      <w:r>
        <w:rPr>
          <w:rFonts w:hint="eastAsia" w:ascii="宋体" w:hAnsi="宋体" w:eastAsia="宋体" w:cs="宋体"/>
          <w:snapToGrid w:val="0"/>
          <w:color w:val="auto"/>
          <w:spacing w:val="0"/>
          <w:highlight w:val="none"/>
        </w:rPr>
        <w:t>4. 投标</w:t>
      </w:r>
      <w:bookmarkEnd w:id="112"/>
      <w:bookmarkEnd w:id="113"/>
      <w:bookmarkEnd w:id="114"/>
    </w:p>
    <w:p w14:paraId="410DEBBD">
      <w:pPr>
        <w:pStyle w:val="5"/>
        <w:snapToGrid w:val="0"/>
        <w:spacing w:before="0" w:line="360" w:lineRule="auto"/>
        <w:rPr>
          <w:rFonts w:ascii="宋体" w:hAnsi="宋体" w:eastAsia="宋体" w:cs="宋体"/>
          <w:snapToGrid w:val="0"/>
          <w:color w:val="auto"/>
          <w:highlight w:val="none"/>
        </w:rPr>
      </w:pPr>
      <w:bookmarkStart w:id="115" w:name="_Toc200513154"/>
      <w:bookmarkStart w:id="116" w:name="_Toc224103345"/>
      <w:r>
        <w:rPr>
          <w:rFonts w:hint="eastAsia" w:ascii="宋体" w:hAnsi="宋体" w:eastAsia="宋体" w:cs="宋体"/>
          <w:snapToGrid w:val="0"/>
          <w:color w:val="auto"/>
          <w:highlight w:val="none"/>
        </w:rPr>
        <w:t>4.1  竞选文件的密封和标记</w:t>
      </w:r>
      <w:bookmarkEnd w:id="115"/>
      <w:bookmarkEnd w:id="116"/>
    </w:p>
    <w:p w14:paraId="6EAA5177">
      <w:pPr>
        <w:autoSpaceDE w:val="0"/>
        <w:autoSpaceDN w:val="0"/>
        <w:adjustRightInd w:val="0"/>
        <w:snapToGrid w:val="0"/>
        <w:spacing w:line="360" w:lineRule="auto"/>
        <w:ind w:firstLine="420" w:firstLineChars="200"/>
        <w:jc w:val="left"/>
        <w:rPr>
          <w:rFonts w:ascii="宋体" w:hAnsi="宋体" w:cs="宋体"/>
          <w:snapToGrid w:val="0"/>
          <w:color w:val="auto"/>
          <w:kern w:val="0"/>
          <w:szCs w:val="21"/>
          <w:highlight w:val="none"/>
        </w:rPr>
      </w:pPr>
      <w:bookmarkStart w:id="117" w:name="_Toc200513155"/>
      <w:r>
        <w:rPr>
          <w:rFonts w:hint="eastAsia" w:ascii="宋体" w:hAnsi="宋体" w:cs="宋体"/>
          <w:snapToGrid w:val="0"/>
          <w:color w:val="auto"/>
          <w:kern w:val="0"/>
          <w:szCs w:val="21"/>
          <w:highlight w:val="none"/>
        </w:rPr>
        <w:t>4.1.1  竞选文件的正本与副本密封见竞选人须知前附表。</w:t>
      </w:r>
    </w:p>
    <w:p w14:paraId="436BE6F3">
      <w:pPr>
        <w:autoSpaceDE w:val="0"/>
        <w:autoSpaceDN w:val="0"/>
        <w:adjustRightInd w:val="0"/>
        <w:snapToGrid w:val="0"/>
        <w:spacing w:line="360" w:lineRule="auto"/>
        <w:ind w:firstLine="420" w:firstLineChars="200"/>
        <w:jc w:val="left"/>
        <w:rPr>
          <w:rFonts w:ascii="宋体" w:hAnsi="宋体" w:cs="宋体"/>
          <w:snapToGrid w:val="0"/>
          <w:color w:val="auto"/>
          <w:kern w:val="0"/>
          <w:szCs w:val="21"/>
          <w:highlight w:val="none"/>
        </w:rPr>
      </w:pPr>
      <w:r>
        <w:rPr>
          <w:rFonts w:hint="eastAsia" w:ascii="宋体" w:hAnsi="宋体" w:cs="宋体"/>
          <w:snapToGrid w:val="0"/>
          <w:color w:val="auto"/>
          <w:kern w:val="0"/>
          <w:szCs w:val="21"/>
          <w:highlight w:val="none"/>
        </w:rPr>
        <w:t>4.1.2  竞选文件的封套上应写明的内容见竞选人须知前附表。</w:t>
      </w:r>
    </w:p>
    <w:p w14:paraId="26E8EC8B">
      <w:pPr>
        <w:autoSpaceDE w:val="0"/>
        <w:autoSpaceDN w:val="0"/>
        <w:adjustRightInd w:val="0"/>
        <w:snapToGrid w:val="0"/>
        <w:spacing w:line="360" w:lineRule="auto"/>
        <w:ind w:firstLine="420" w:firstLineChars="200"/>
        <w:jc w:val="left"/>
        <w:rPr>
          <w:rFonts w:ascii="宋体" w:hAnsi="宋体" w:cs="宋体"/>
          <w:snapToGrid w:val="0"/>
          <w:color w:val="auto"/>
          <w:kern w:val="0"/>
          <w:szCs w:val="21"/>
          <w:highlight w:val="none"/>
        </w:rPr>
      </w:pPr>
      <w:r>
        <w:rPr>
          <w:rFonts w:hint="eastAsia" w:ascii="宋体" w:hAnsi="宋体" w:cs="宋体"/>
          <w:snapToGrid w:val="0"/>
          <w:color w:val="auto"/>
          <w:kern w:val="0"/>
          <w:szCs w:val="21"/>
          <w:highlight w:val="none"/>
        </w:rPr>
        <w:t>4.1.3  未按本章第 4.1.1 项或第 4.1.2 项要求密封和加写标记的竞选文件，比选人不予受理。</w:t>
      </w:r>
    </w:p>
    <w:p w14:paraId="4797DEDB">
      <w:pPr>
        <w:pStyle w:val="5"/>
        <w:snapToGrid w:val="0"/>
        <w:spacing w:before="0" w:line="360" w:lineRule="auto"/>
        <w:rPr>
          <w:rFonts w:ascii="宋体" w:hAnsi="宋体" w:eastAsia="宋体" w:cs="宋体"/>
          <w:snapToGrid w:val="0"/>
          <w:color w:val="auto"/>
          <w:highlight w:val="none"/>
        </w:rPr>
      </w:pPr>
      <w:bookmarkStart w:id="118" w:name="_Toc224103346"/>
      <w:r>
        <w:rPr>
          <w:rFonts w:hint="eastAsia" w:ascii="宋体" w:hAnsi="宋体" w:eastAsia="宋体" w:cs="宋体"/>
          <w:snapToGrid w:val="0"/>
          <w:color w:val="auto"/>
          <w:highlight w:val="none"/>
        </w:rPr>
        <w:t>4.2  竞选文件的递交</w:t>
      </w:r>
      <w:bookmarkEnd w:id="117"/>
      <w:bookmarkEnd w:id="118"/>
    </w:p>
    <w:p w14:paraId="19EA7765">
      <w:pPr>
        <w:autoSpaceDE w:val="0"/>
        <w:autoSpaceDN w:val="0"/>
        <w:adjustRightInd w:val="0"/>
        <w:snapToGrid w:val="0"/>
        <w:spacing w:line="360" w:lineRule="auto"/>
        <w:ind w:firstLine="420" w:firstLineChars="200"/>
        <w:jc w:val="left"/>
        <w:rPr>
          <w:rFonts w:ascii="宋体" w:hAnsi="宋体" w:cs="宋体"/>
          <w:snapToGrid w:val="0"/>
          <w:color w:val="auto"/>
          <w:kern w:val="0"/>
          <w:szCs w:val="21"/>
          <w:highlight w:val="none"/>
        </w:rPr>
      </w:pPr>
      <w:r>
        <w:rPr>
          <w:rFonts w:hint="eastAsia" w:ascii="宋体" w:hAnsi="宋体" w:cs="宋体"/>
          <w:snapToGrid w:val="0"/>
          <w:color w:val="auto"/>
          <w:kern w:val="0"/>
          <w:szCs w:val="21"/>
          <w:highlight w:val="none"/>
        </w:rPr>
        <w:t>4.2.1  竞选人应在本章须知前附表规定的竞选截止时间前递交竞选文件。</w:t>
      </w:r>
    </w:p>
    <w:p w14:paraId="2DD1718D">
      <w:pPr>
        <w:autoSpaceDE w:val="0"/>
        <w:autoSpaceDN w:val="0"/>
        <w:adjustRightInd w:val="0"/>
        <w:snapToGrid w:val="0"/>
        <w:spacing w:line="360" w:lineRule="auto"/>
        <w:ind w:firstLine="420" w:firstLineChars="200"/>
        <w:jc w:val="left"/>
        <w:rPr>
          <w:rFonts w:ascii="宋体" w:hAnsi="宋体" w:cs="宋体"/>
          <w:snapToGrid w:val="0"/>
          <w:color w:val="auto"/>
          <w:kern w:val="0"/>
          <w:szCs w:val="21"/>
          <w:highlight w:val="none"/>
        </w:rPr>
      </w:pPr>
      <w:r>
        <w:rPr>
          <w:rFonts w:hint="eastAsia" w:ascii="宋体" w:hAnsi="宋体" w:cs="宋体"/>
          <w:snapToGrid w:val="0"/>
          <w:color w:val="auto"/>
          <w:kern w:val="0"/>
          <w:szCs w:val="21"/>
          <w:highlight w:val="none"/>
        </w:rPr>
        <w:t>4.2.2  竞选人递交竞选文件的地点：见竞选人须知前附表。</w:t>
      </w:r>
    </w:p>
    <w:p w14:paraId="574C2467">
      <w:pPr>
        <w:autoSpaceDE w:val="0"/>
        <w:autoSpaceDN w:val="0"/>
        <w:adjustRightInd w:val="0"/>
        <w:snapToGrid w:val="0"/>
        <w:spacing w:line="360" w:lineRule="auto"/>
        <w:ind w:firstLine="420" w:firstLineChars="200"/>
        <w:jc w:val="left"/>
        <w:rPr>
          <w:rFonts w:ascii="宋体" w:hAnsi="宋体" w:cs="宋体"/>
          <w:snapToGrid w:val="0"/>
          <w:color w:val="auto"/>
          <w:kern w:val="0"/>
          <w:szCs w:val="21"/>
          <w:highlight w:val="none"/>
        </w:rPr>
      </w:pPr>
      <w:r>
        <w:rPr>
          <w:rFonts w:hint="eastAsia" w:ascii="宋体" w:hAnsi="宋体" w:cs="宋体"/>
          <w:snapToGrid w:val="0"/>
          <w:color w:val="auto"/>
          <w:kern w:val="0"/>
          <w:szCs w:val="21"/>
          <w:highlight w:val="none"/>
        </w:rPr>
        <w:t>4.2.3  除竞选人须知前附表另有规定外，竞选人所递交的竞选文件不予退还。</w:t>
      </w:r>
    </w:p>
    <w:p w14:paraId="27E714F5">
      <w:pPr>
        <w:autoSpaceDE w:val="0"/>
        <w:autoSpaceDN w:val="0"/>
        <w:adjustRightInd w:val="0"/>
        <w:snapToGrid w:val="0"/>
        <w:spacing w:line="360" w:lineRule="auto"/>
        <w:ind w:firstLine="420" w:firstLineChars="200"/>
        <w:jc w:val="left"/>
        <w:rPr>
          <w:rFonts w:ascii="宋体" w:hAnsi="宋体" w:cs="宋体"/>
          <w:snapToGrid w:val="0"/>
          <w:color w:val="auto"/>
          <w:kern w:val="0"/>
          <w:szCs w:val="21"/>
          <w:highlight w:val="none"/>
        </w:rPr>
      </w:pPr>
      <w:r>
        <w:rPr>
          <w:rFonts w:hint="eastAsia" w:ascii="宋体" w:hAnsi="宋体" w:cs="宋体"/>
          <w:snapToGrid w:val="0"/>
          <w:color w:val="auto"/>
          <w:kern w:val="0"/>
          <w:szCs w:val="21"/>
          <w:highlight w:val="none"/>
        </w:rPr>
        <w:t>4.2.4  逾期送达的或者未送达指定地点的竞选文件，比选人不予受理。</w:t>
      </w:r>
    </w:p>
    <w:p w14:paraId="28F7776E">
      <w:pPr>
        <w:pStyle w:val="5"/>
        <w:snapToGrid w:val="0"/>
        <w:spacing w:before="0" w:line="360" w:lineRule="auto"/>
        <w:rPr>
          <w:rFonts w:ascii="宋体" w:hAnsi="宋体" w:eastAsia="宋体" w:cs="宋体"/>
          <w:snapToGrid w:val="0"/>
          <w:color w:val="auto"/>
          <w:highlight w:val="none"/>
        </w:rPr>
      </w:pPr>
      <w:bookmarkStart w:id="119" w:name="_Toc200513156"/>
      <w:bookmarkStart w:id="120" w:name="_Toc224103347"/>
      <w:r>
        <w:rPr>
          <w:rFonts w:hint="eastAsia" w:ascii="宋体" w:hAnsi="宋体" w:eastAsia="宋体" w:cs="宋体"/>
          <w:snapToGrid w:val="0"/>
          <w:color w:val="auto"/>
          <w:highlight w:val="none"/>
        </w:rPr>
        <w:t>4.3  竞选文件的修改与撤回</w:t>
      </w:r>
      <w:bookmarkEnd w:id="119"/>
      <w:bookmarkEnd w:id="120"/>
    </w:p>
    <w:p w14:paraId="6ECCC62B">
      <w:pPr>
        <w:autoSpaceDE w:val="0"/>
        <w:autoSpaceDN w:val="0"/>
        <w:adjustRightInd w:val="0"/>
        <w:snapToGrid w:val="0"/>
        <w:spacing w:line="360" w:lineRule="auto"/>
        <w:ind w:firstLine="420"/>
        <w:jc w:val="left"/>
        <w:rPr>
          <w:rFonts w:ascii="宋体" w:hAnsi="宋体" w:cs="宋体"/>
          <w:snapToGrid w:val="0"/>
          <w:color w:val="auto"/>
          <w:kern w:val="0"/>
          <w:szCs w:val="21"/>
          <w:highlight w:val="none"/>
        </w:rPr>
      </w:pPr>
      <w:r>
        <w:rPr>
          <w:rFonts w:hint="eastAsia" w:ascii="宋体" w:hAnsi="宋体" w:cs="宋体"/>
          <w:snapToGrid w:val="0"/>
          <w:color w:val="auto"/>
          <w:kern w:val="0"/>
          <w:szCs w:val="21"/>
          <w:highlight w:val="none"/>
        </w:rPr>
        <w:t>4.3.1  在竞选人须知前附表规定的竞选截止时间前，竞选人可以修改或撤回已递交的竞选文件，但应以书面形式</w:t>
      </w:r>
      <w:r>
        <w:rPr>
          <w:rFonts w:hint="eastAsia" w:ascii="宋体" w:hAnsi="宋体" w:cs="宋体"/>
          <w:color w:val="auto"/>
          <w:highlight w:val="none"/>
        </w:rPr>
        <w:t>（或传真形式</w:t>
      </w:r>
      <w:r>
        <w:rPr>
          <w:rFonts w:hint="eastAsia" w:ascii="宋体" w:hAnsi="宋体" w:cs="宋体"/>
          <w:snapToGrid w:val="0"/>
          <w:color w:val="auto"/>
          <w:kern w:val="0"/>
          <w:szCs w:val="21"/>
          <w:highlight w:val="none"/>
        </w:rPr>
        <w:t>）通知比选人。</w:t>
      </w:r>
    </w:p>
    <w:p w14:paraId="75EB6319">
      <w:pPr>
        <w:autoSpaceDE w:val="0"/>
        <w:autoSpaceDN w:val="0"/>
        <w:adjustRightInd w:val="0"/>
        <w:snapToGrid w:val="0"/>
        <w:spacing w:line="360" w:lineRule="auto"/>
        <w:ind w:firstLine="420"/>
        <w:jc w:val="left"/>
        <w:rPr>
          <w:rFonts w:ascii="宋体" w:hAnsi="宋体" w:cs="宋体"/>
          <w:snapToGrid w:val="0"/>
          <w:color w:val="auto"/>
          <w:kern w:val="0"/>
          <w:szCs w:val="21"/>
          <w:highlight w:val="none"/>
        </w:rPr>
      </w:pPr>
      <w:r>
        <w:rPr>
          <w:rFonts w:hint="eastAsia" w:ascii="宋体" w:hAnsi="宋体" w:cs="宋体"/>
          <w:snapToGrid w:val="0"/>
          <w:color w:val="auto"/>
          <w:kern w:val="0"/>
          <w:szCs w:val="21"/>
          <w:highlight w:val="none"/>
        </w:rPr>
        <w:t>4.3.2  竞选人修改或撤回已递交竞选文件的书面通知应按照本章的要求签字、盖章。</w:t>
      </w:r>
    </w:p>
    <w:p w14:paraId="672693C1">
      <w:pPr>
        <w:autoSpaceDE w:val="0"/>
        <w:autoSpaceDN w:val="0"/>
        <w:adjustRightInd w:val="0"/>
        <w:snapToGrid w:val="0"/>
        <w:spacing w:line="360" w:lineRule="auto"/>
        <w:ind w:firstLine="420"/>
        <w:jc w:val="left"/>
        <w:rPr>
          <w:rFonts w:ascii="宋体" w:hAnsi="宋体" w:cs="宋体"/>
          <w:snapToGrid w:val="0"/>
          <w:color w:val="auto"/>
          <w:kern w:val="0"/>
          <w:szCs w:val="21"/>
          <w:highlight w:val="none"/>
        </w:rPr>
      </w:pPr>
      <w:r>
        <w:rPr>
          <w:rFonts w:hint="eastAsia" w:ascii="宋体" w:hAnsi="宋体" w:cs="宋体"/>
          <w:snapToGrid w:val="0"/>
          <w:color w:val="auto"/>
          <w:kern w:val="0"/>
          <w:szCs w:val="21"/>
          <w:highlight w:val="none"/>
        </w:rPr>
        <w:t>4.3.3  修改的内容为竞选文件的组成部分。修改的竞选文件应按照本章规定进行编制、密封、标记和递交，并标明“修改”字样。</w:t>
      </w:r>
    </w:p>
    <w:p w14:paraId="53ACB571">
      <w:pPr>
        <w:pStyle w:val="4"/>
        <w:rPr>
          <w:rFonts w:ascii="宋体" w:hAnsi="宋体" w:eastAsia="宋体" w:cs="宋体"/>
          <w:snapToGrid w:val="0"/>
          <w:color w:val="auto"/>
          <w:spacing w:val="0"/>
          <w:highlight w:val="none"/>
        </w:rPr>
      </w:pPr>
      <w:bookmarkStart w:id="121" w:name="_Toc224103348"/>
      <w:bookmarkStart w:id="122" w:name="_Toc14561"/>
      <w:bookmarkStart w:id="123" w:name="_Toc200513157"/>
      <w:r>
        <w:rPr>
          <w:rFonts w:hint="eastAsia" w:ascii="宋体" w:hAnsi="宋体" w:eastAsia="宋体" w:cs="宋体"/>
          <w:snapToGrid w:val="0"/>
          <w:color w:val="auto"/>
          <w:spacing w:val="0"/>
          <w:highlight w:val="none"/>
        </w:rPr>
        <w:t>5.  开标</w:t>
      </w:r>
      <w:bookmarkEnd w:id="121"/>
      <w:bookmarkEnd w:id="122"/>
      <w:bookmarkEnd w:id="123"/>
    </w:p>
    <w:p w14:paraId="7E6ECB9D">
      <w:pPr>
        <w:pStyle w:val="5"/>
        <w:snapToGrid w:val="0"/>
        <w:spacing w:before="0" w:line="360" w:lineRule="auto"/>
        <w:ind w:firstLine="420" w:firstLineChars="200"/>
        <w:jc w:val="both"/>
        <w:rPr>
          <w:rFonts w:ascii="宋体" w:hAnsi="宋体" w:eastAsia="宋体" w:cs="宋体"/>
          <w:b w:val="0"/>
          <w:color w:val="auto"/>
          <w:sz w:val="21"/>
          <w:szCs w:val="21"/>
          <w:highlight w:val="none"/>
        </w:rPr>
      </w:pPr>
      <w:bookmarkStart w:id="124" w:name="_Toc200513158"/>
      <w:bookmarkStart w:id="125" w:name="_Toc224103349"/>
      <w:r>
        <w:rPr>
          <w:rFonts w:hint="eastAsia" w:ascii="宋体" w:hAnsi="宋体" w:eastAsia="宋体" w:cs="宋体"/>
          <w:b w:val="0"/>
          <w:color w:val="auto"/>
          <w:sz w:val="21"/>
          <w:szCs w:val="21"/>
          <w:highlight w:val="none"/>
        </w:rPr>
        <w:t>见竞选人须知前附表</w:t>
      </w:r>
    </w:p>
    <w:p w14:paraId="34C2382A">
      <w:pPr>
        <w:pStyle w:val="5"/>
        <w:snapToGrid w:val="0"/>
        <w:spacing w:before="0" w:line="360" w:lineRule="auto"/>
        <w:rPr>
          <w:rFonts w:ascii="宋体" w:hAnsi="宋体" w:eastAsia="宋体" w:cs="宋体"/>
          <w:snapToGrid w:val="0"/>
          <w:color w:val="auto"/>
          <w:highlight w:val="none"/>
        </w:rPr>
      </w:pPr>
      <w:r>
        <w:rPr>
          <w:rFonts w:hint="eastAsia" w:ascii="宋体" w:hAnsi="宋体" w:eastAsia="宋体" w:cs="宋体"/>
          <w:snapToGrid w:val="0"/>
          <w:color w:val="auto"/>
          <w:highlight w:val="none"/>
        </w:rPr>
        <w:t>5.1  开标时间和地点</w:t>
      </w:r>
      <w:bookmarkEnd w:id="124"/>
      <w:bookmarkEnd w:id="125"/>
    </w:p>
    <w:p w14:paraId="708D559D">
      <w:pPr>
        <w:pStyle w:val="5"/>
        <w:snapToGrid w:val="0"/>
        <w:spacing w:before="0" w:line="360" w:lineRule="auto"/>
        <w:ind w:firstLine="420" w:firstLineChars="200"/>
        <w:jc w:val="both"/>
        <w:rPr>
          <w:rFonts w:ascii="宋体" w:hAnsi="宋体" w:eastAsia="宋体" w:cs="宋体"/>
          <w:b w:val="0"/>
          <w:color w:val="auto"/>
          <w:sz w:val="21"/>
          <w:szCs w:val="21"/>
          <w:highlight w:val="none"/>
        </w:rPr>
      </w:pPr>
      <w:bookmarkStart w:id="126" w:name="_Toc224103350"/>
      <w:bookmarkStart w:id="127" w:name="_Toc200513159"/>
      <w:r>
        <w:rPr>
          <w:rFonts w:hint="eastAsia" w:ascii="宋体" w:hAnsi="宋体" w:eastAsia="宋体" w:cs="宋体"/>
          <w:b w:val="0"/>
          <w:color w:val="auto"/>
          <w:sz w:val="21"/>
          <w:szCs w:val="21"/>
          <w:highlight w:val="none"/>
        </w:rPr>
        <w:t>见竞选人须知前附表</w:t>
      </w:r>
    </w:p>
    <w:p w14:paraId="02843CE2">
      <w:pPr>
        <w:pStyle w:val="5"/>
        <w:snapToGrid w:val="0"/>
        <w:spacing w:before="0" w:line="360" w:lineRule="auto"/>
        <w:rPr>
          <w:rFonts w:ascii="宋体" w:hAnsi="宋体" w:eastAsia="宋体" w:cs="宋体"/>
          <w:snapToGrid w:val="0"/>
          <w:color w:val="auto"/>
          <w:highlight w:val="none"/>
        </w:rPr>
      </w:pPr>
      <w:r>
        <w:rPr>
          <w:rFonts w:hint="eastAsia" w:ascii="宋体" w:hAnsi="宋体" w:eastAsia="宋体" w:cs="宋体"/>
          <w:snapToGrid w:val="0"/>
          <w:color w:val="auto"/>
          <w:highlight w:val="none"/>
        </w:rPr>
        <w:t>5.2  开标程序</w:t>
      </w:r>
      <w:bookmarkEnd w:id="126"/>
      <w:bookmarkEnd w:id="127"/>
    </w:p>
    <w:p w14:paraId="4811D8BD">
      <w:pPr>
        <w:pStyle w:val="5"/>
        <w:snapToGrid w:val="0"/>
        <w:spacing w:before="0" w:line="360" w:lineRule="auto"/>
        <w:ind w:firstLine="420" w:firstLineChars="200"/>
        <w:jc w:val="both"/>
        <w:rPr>
          <w:rFonts w:ascii="宋体" w:hAnsi="宋体" w:eastAsia="宋体" w:cs="宋体"/>
          <w:b w:val="0"/>
          <w:color w:val="auto"/>
          <w:sz w:val="21"/>
          <w:szCs w:val="21"/>
          <w:highlight w:val="none"/>
        </w:rPr>
      </w:pPr>
      <w:bookmarkStart w:id="128" w:name="_Toc4257"/>
      <w:bookmarkStart w:id="129" w:name="_Toc200513160"/>
      <w:bookmarkStart w:id="130" w:name="_Toc224103351"/>
      <w:r>
        <w:rPr>
          <w:rFonts w:hint="eastAsia" w:ascii="宋体" w:hAnsi="宋体" w:eastAsia="宋体" w:cs="宋体"/>
          <w:b w:val="0"/>
          <w:color w:val="auto"/>
          <w:sz w:val="21"/>
          <w:szCs w:val="21"/>
          <w:highlight w:val="none"/>
        </w:rPr>
        <w:t>见竞选人须知前附表</w:t>
      </w:r>
      <w:bookmarkEnd w:id="128"/>
    </w:p>
    <w:p w14:paraId="4088C321">
      <w:pPr>
        <w:pStyle w:val="4"/>
        <w:rPr>
          <w:rFonts w:ascii="宋体" w:hAnsi="宋体" w:eastAsia="宋体" w:cs="宋体"/>
          <w:snapToGrid w:val="0"/>
          <w:color w:val="auto"/>
          <w:spacing w:val="0"/>
          <w:highlight w:val="none"/>
        </w:rPr>
      </w:pPr>
      <w:bookmarkStart w:id="131" w:name="_Toc12128"/>
      <w:r>
        <w:rPr>
          <w:rFonts w:hint="eastAsia" w:ascii="宋体" w:hAnsi="宋体" w:eastAsia="宋体" w:cs="宋体"/>
          <w:snapToGrid w:val="0"/>
          <w:color w:val="auto"/>
          <w:spacing w:val="0"/>
          <w:highlight w:val="none"/>
        </w:rPr>
        <w:t>6.  评标</w:t>
      </w:r>
      <w:bookmarkEnd w:id="129"/>
      <w:bookmarkEnd w:id="130"/>
      <w:bookmarkEnd w:id="131"/>
    </w:p>
    <w:p w14:paraId="4B69BC15">
      <w:pPr>
        <w:pStyle w:val="5"/>
        <w:snapToGrid w:val="0"/>
        <w:spacing w:before="0" w:line="360" w:lineRule="auto"/>
        <w:rPr>
          <w:rFonts w:ascii="宋体" w:hAnsi="宋体" w:eastAsia="宋体" w:cs="宋体"/>
          <w:snapToGrid w:val="0"/>
          <w:color w:val="auto"/>
          <w:highlight w:val="none"/>
        </w:rPr>
      </w:pPr>
      <w:bookmarkStart w:id="132" w:name="_Toc224103352"/>
      <w:bookmarkStart w:id="133" w:name="_Toc200513161"/>
      <w:r>
        <w:rPr>
          <w:rFonts w:hint="eastAsia" w:ascii="宋体" w:hAnsi="宋体" w:eastAsia="宋体" w:cs="宋体"/>
          <w:snapToGrid w:val="0"/>
          <w:color w:val="auto"/>
          <w:highlight w:val="none"/>
        </w:rPr>
        <w:t xml:space="preserve">6.1  </w:t>
      </w:r>
      <w:bookmarkEnd w:id="132"/>
      <w:bookmarkEnd w:id="133"/>
      <w:r>
        <w:rPr>
          <w:rFonts w:hint="eastAsia" w:ascii="宋体" w:hAnsi="宋体" w:eastAsia="宋体" w:cs="宋体"/>
          <w:color w:val="auto"/>
          <w:szCs w:val="21"/>
          <w:highlight w:val="none"/>
        </w:rPr>
        <w:t>评审人员</w:t>
      </w:r>
    </w:p>
    <w:p w14:paraId="752E6410">
      <w:pPr>
        <w:autoSpaceDE w:val="0"/>
        <w:autoSpaceDN w:val="0"/>
        <w:adjustRightInd w:val="0"/>
        <w:snapToGrid w:val="0"/>
        <w:spacing w:line="360" w:lineRule="auto"/>
        <w:ind w:firstLine="420" w:firstLineChars="200"/>
        <w:jc w:val="left"/>
        <w:rPr>
          <w:rFonts w:ascii="宋体" w:hAnsi="宋体" w:cs="宋体"/>
          <w:color w:val="auto"/>
          <w:szCs w:val="21"/>
          <w:highlight w:val="none"/>
        </w:rPr>
      </w:pPr>
      <w:r>
        <w:rPr>
          <w:rFonts w:hint="eastAsia" w:ascii="宋体" w:hAnsi="宋体" w:cs="宋体"/>
          <w:snapToGrid w:val="0"/>
          <w:color w:val="auto"/>
          <w:kern w:val="0"/>
          <w:szCs w:val="21"/>
          <w:highlight w:val="none"/>
        </w:rPr>
        <w:t>6.1.1</w:t>
      </w:r>
      <w:r>
        <w:rPr>
          <w:rFonts w:hint="eastAsia" w:ascii="宋体" w:hAnsi="宋体"/>
          <w:color w:val="auto"/>
          <w:spacing w:val="4"/>
          <w:kern w:val="0"/>
          <w:szCs w:val="21"/>
          <w:highlight w:val="none"/>
        </w:rPr>
        <w:t>由比选人按法律法规及相关规定依法组建评标委员会</w:t>
      </w:r>
      <w:r>
        <w:rPr>
          <w:rFonts w:hint="eastAsia" w:ascii="宋体" w:hAnsi="宋体" w:cs="宋体"/>
          <w:color w:val="auto"/>
          <w:spacing w:val="-6"/>
          <w:szCs w:val="21"/>
          <w:highlight w:val="none"/>
        </w:rPr>
        <w:t>。</w:t>
      </w:r>
    </w:p>
    <w:p w14:paraId="4D6006DC">
      <w:pPr>
        <w:autoSpaceDE w:val="0"/>
        <w:autoSpaceDN w:val="0"/>
        <w:adjustRightInd w:val="0"/>
        <w:snapToGrid w:val="0"/>
        <w:spacing w:line="360" w:lineRule="auto"/>
        <w:ind w:firstLine="420" w:firstLineChars="200"/>
        <w:jc w:val="left"/>
        <w:rPr>
          <w:rFonts w:ascii="宋体" w:hAnsi="宋体" w:cs="宋体"/>
          <w:snapToGrid w:val="0"/>
          <w:color w:val="auto"/>
          <w:kern w:val="0"/>
          <w:szCs w:val="21"/>
          <w:highlight w:val="none"/>
        </w:rPr>
      </w:pPr>
      <w:bookmarkStart w:id="134" w:name="_Toc224103353"/>
      <w:bookmarkStart w:id="135" w:name="_Toc200513162"/>
      <w:r>
        <w:rPr>
          <w:rFonts w:hint="eastAsia" w:ascii="宋体" w:hAnsi="宋体" w:cs="宋体"/>
          <w:snapToGrid w:val="0"/>
          <w:color w:val="auto"/>
          <w:kern w:val="0"/>
          <w:szCs w:val="21"/>
          <w:highlight w:val="none"/>
        </w:rPr>
        <w:t>6.1.2</w:t>
      </w:r>
      <w:r>
        <w:rPr>
          <w:rFonts w:hint="eastAsia" w:ascii="宋体" w:hAnsi="宋体" w:cs="宋体"/>
          <w:color w:val="auto"/>
          <w:kern w:val="0"/>
          <w:szCs w:val="21"/>
          <w:highlight w:val="none"/>
        </w:rPr>
        <w:t>评审人员</w:t>
      </w:r>
      <w:r>
        <w:rPr>
          <w:rFonts w:hint="eastAsia" w:ascii="宋体" w:hAnsi="宋体" w:cs="宋体"/>
          <w:snapToGrid w:val="0"/>
          <w:color w:val="auto"/>
          <w:kern w:val="0"/>
          <w:szCs w:val="21"/>
          <w:highlight w:val="none"/>
        </w:rPr>
        <w:t>成员有下列情形之一的，应当回避：</w:t>
      </w:r>
    </w:p>
    <w:p w14:paraId="2A928BAC">
      <w:pPr>
        <w:autoSpaceDE w:val="0"/>
        <w:autoSpaceDN w:val="0"/>
        <w:adjustRightInd w:val="0"/>
        <w:snapToGrid w:val="0"/>
        <w:spacing w:line="360" w:lineRule="auto"/>
        <w:jc w:val="left"/>
        <w:rPr>
          <w:rFonts w:ascii="宋体" w:hAnsi="宋体" w:cs="宋体"/>
          <w:snapToGrid w:val="0"/>
          <w:color w:val="auto"/>
          <w:kern w:val="0"/>
          <w:szCs w:val="21"/>
          <w:highlight w:val="none"/>
        </w:rPr>
      </w:pPr>
      <w:r>
        <w:rPr>
          <w:rFonts w:hint="eastAsia" w:ascii="宋体" w:hAnsi="宋体" w:cs="宋体"/>
          <w:snapToGrid w:val="0"/>
          <w:color w:val="auto"/>
          <w:kern w:val="0"/>
          <w:szCs w:val="21"/>
          <w:highlight w:val="none"/>
        </w:rPr>
        <w:t>（1）竞选人的主要负责人的近亲属；</w:t>
      </w:r>
    </w:p>
    <w:p w14:paraId="6F23C546">
      <w:pPr>
        <w:autoSpaceDE w:val="0"/>
        <w:autoSpaceDN w:val="0"/>
        <w:adjustRightInd w:val="0"/>
        <w:snapToGrid w:val="0"/>
        <w:spacing w:line="360" w:lineRule="auto"/>
        <w:jc w:val="left"/>
        <w:rPr>
          <w:rFonts w:ascii="宋体" w:hAnsi="宋体" w:cs="宋体"/>
          <w:snapToGrid w:val="0"/>
          <w:color w:val="auto"/>
          <w:kern w:val="0"/>
          <w:szCs w:val="21"/>
          <w:highlight w:val="none"/>
        </w:rPr>
      </w:pPr>
      <w:r>
        <w:rPr>
          <w:rFonts w:hint="eastAsia" w:ascii="宋体" w:hAnsi="宋体" w:cs="宋体"/>
          <w:snapToGrid w:val="0"/>
          <w:color w:val="auto"/>
          <w:kern w:val="0"/>
          <w:szCs w:val="21"/>
          <w:highlight w:val="none"/>
        </w:rPr>
        <w:t>（2）项目主管部门或者行政监督部门的人员；</w:t>
      </w:r>
    </w:p>
    <w:p w14:paraId="20B11F64">
      <w:pPr>
        <w:autoSpaceDE w:val="0"/>
        <w:autoSpaceDN w:val="0"/>
        <w:adjustRightInd w:val="0"/>
        <w:snapToGrid w:val="0"/>
        <w:spacing w:line="360" w:lineRule="auto"/>
        <w:jc w:val="left"/>
        <w:rPr>
          <w:rFonts w:ascii="宋体" w:hAnsi="宋体" w:cs="宋体"/>
          <w:snapToGrid w:val="0"/>
          <w:color w:val="auto"/>
          <w:kern w:val="0"/>
          <w:szCs w:val="21"/>
          <w:highlight w:val="none"/>
        </w:rPr>
      </w:pPr>
      <w:r>
        <w:rPr>
          <w:rFonts w:hint="eastAsia" w:ascii="宋体" w:hAnsi="宋体" w:cs="宋体"/>
          <w:snapToGrid w:val="0"/>
          <w:color w:val="auto"/>
          <w:kern w:val="0"/>
          <w:szCs w:val="21"/>
          <w:highlight w:val="none"/>
        </w:rPr>
        <w:t>（3）与竞选人有经济利益关系，可能影响对投标公正评审的；</w:t>
      </w:r>
    </w:p>
    <w:p w14:paraId="1D405DC5">
      <w:pPr>
        <w:autoSpaceDE w:val="0"/>
        <w:autoSpaceDN w:val="0"/>
        <w:adjustRightInd w:val="0"/>
        <w:snapToGrid w:val="0"/>
        <w:spacing w:line="360" w:lineRule="auto"/>
        <w:jc w:val="left"/>
        <w:rPr>
          <w:rFonts w:ascii="宋体" w:hAnsi="宋体" w:cs="宋体"/>
          <w:snapToGrid w:val="0"/>
          <w:color w:val="auto"/>
          <w:spacing w:val="-6"/>
          <w:kern w:val="0"/>
          <w:szCs w:val="21"/>
          <w:highlight w:val="none"/>
        </w:rPr>
      </w:pPr>
      <w:r>
        <w:rPr>
          <w:rFonts w:hint="eastAsia" w:ascii="宋体" w:hAnsi="宋体" w:cs="宋体"/>
          <w:snapToGrid w:val="0"/>
          <w:color w:val="auto"/>
          <w:kern w:val="0"/>
          <w:szCs w:val="21"/>
          <w:highlight w:val="none"/>
        </w:rPr>
        <w:t>（4）</w:t>
      </w:r>
      <w:r>
        <w:rPr>
          <w:rFonts w:hint="eastAsia" w:ascii="宋体" w:hAnsi="宋体" w:cs="宋体"/>
          <w:snapToGrid w:val="0"/>
          <w:color w:val="auto"/>
          <w:spacing w:val="-6"/>
          <w:kern w:val="0"/>
          <w:szCs w:val="21"/>
          <w:highlight w:val="none"/>
        </w:rPr>
        <w:t>曾因在比选、评标以及其他与比选投标有关活动中从事违法行为而受过行政处罚或刑事处罚的。</w:t>
      </w:r>
    </w:p>
    <w:p w14:paraId="32CDD46C">
      <w:pPr>
        <w:autoSpaceDE w:val="0"/>
        <w:autoSpaceDN w:val="0"/>
        <w:adjustRightInd w:val="0"/>
        <w:snapToGrid w:val="0"/>
        <w:spacing w:line="360" w:lineRule="auto"/>
        <w:ind w:firstLine="420" w:firstLineChars="200"/>
        <w:jc w:val="left"/>
        <w:rPr>
          <w:rFonts w:ascii="宋体" w:hAnsi="宋体" w:cs="宋体"/>
          <w:snapToGrid w:val="0"/>
          <w:color w:val="auto"/>
          <w:kern w:val="0"/>
          <w:szCs w:val="21"/>
          <w:highlight w:val="none"/>
        </w:rPr>
      </w:pPr>
      <w:r>
        <w:rPr>
          <w:rFonts w:hint="eastAsia" w:ascii="宋体" w:hAnsi="宋体" w:cs="宋体"/>
          <w:snapToGrid w:val="0"/>
          <w:color w:val="auto"/>
          <w:kern w:val="0"/>
          <w:szCs w:val="21"/>
          <w:highlight w:val="none"/>
        </w:rPr>
        <w:t xml:space="preserve">6.1.3 </w:t>
      </w:r>
      <w:r>
        <w:rPr>
          <w:rFonts w:hint="eastAsia" w:ascii="宋体" w:hAnsi="宋体" w:cs="宋体"/>
          <w:color w:val="auto"/>
          <w:kern w:val="0"/>
          <w:szCs w:val="21"/>
          <w:highlight w:val="none"/>
        </w:rPr>
        <w:t>评审人员</w:t>
      </w:r>
      <w:r>
        <w:rPr>
          <w:rFonts w:hint="eastAsia" w:ascii="宋体" w:hAnsi="宋体" w:cs="宋体"/>
          <w:snapToGrid w:val="0"/>
          <w:color w:val="auto"/>
          <w:kern w:val="0"/>
          <w:szCs w:val="21"/>
          <w:highlight w:val="none"/>
        </w:rPr>
        <w:t>的名单在中标结果确定前应当保密。</w:t>
      </w:r>
    </w:p>
    <w:p w14:paraId="0E6DA3F5">
      <w:pPr>
        <w:autoSpaceDE w:val="0"/>
        <w:autoSpaceDN w:val="0"/>
        <w:adjustRightInd w:val="0"/>
        <w:snapToGrid w:val="0"/>
        <w:spacing w:line="360" w:lineRule="auto"/>
        <w:ind w:firstLine="420" w:firstLineChars="200"/>
        <w:jc w:val="left"/>
        <w:rPr>
          <w:rFonts w:ascii="宋体" w:hAnsi="宋体" w:cs="宋体"/>
          <w:snapToGrid w:val="0"/>
          <w:color w:val="auto"/>
          <w:kern w:val="0"/>
          <w:szCs w:val="21"/>
          <w:highlight w:val="none"/>
        </w:rPr>
      </w:pPr>
      <w:r>
        <w:rPr>
          <w:rFonts w:hint="eastAsia" w:ascii="宋体" w:hAnsi="宋体" w:cs="宋体"/>
          <w:snapToGrid w:val="0"/>
          <w:color w:val="auto"/>
          <w:kern w:val="0"/>
          <w:szCs w:val="21"/>
          <w:highlight w:val="none"/>
        </w:rPr>
        <w:t xml:space="preserve">6.1.4 </w:t>
      </w:r>
      <w:r>
        <w:rPr>
          <w:rFonts w:hint="eastAsia" w:ascii="宋体" w:hAnsi="宋体" w:cs="宋体"/>
          <w:color w:val="auto"/>
          <w:kern w:val="0"/>
          <w:szCs w:val="21"/>
          <w:highlight w:val="none"/>
        </w:rPr>
        <w:t>评审人员</w:t>
      </w:r>
      <w:r>
        <w:rPr>
          <w:rFonts w:hint="eastAsia" w:ascii="宋体" w:hAnsi="宋体" w:cs="宋体"/>
          <w:snapToGrid w:val="0"/>
          <w:color w:val="auto"/>
          <w:kern w:val="0"/>
          <w:szCs w:val="21"/>
          <w:highlight w:val="none"/>
        </w:rPr>
        <w:t>到达现场时应在签到表上签到以证明其出席。</w:t>
      </w:r>
    </w:p>
    <w:p w14:paraId="0736C9C0">
      <w:pPr>
        <w:autoSpaceDE w:val="0"/>
        <w:autoSpaceDN w:val="0"/>
        <w:adjustRightInd w:val="0"/>
        <w:snapToGrid w:val="0"/>
        <w:spacing w:line="360" w:lineRule="auto"/>
        <w:ind w:firstLine="420" w:firstLineChars="200"/>
        <w:jc w:val="left"/>
        <w:rPr>
          <w:rFonts w:ascii="宋体" w:hAnsi="宋体" w:cs="宋体"/>
          <w:snapToGrid w:val="0"/>
          <w:color w:val="auto"/>
          <w:kern w:val="0"/>
          <w:szCs w:val="21"/>
          <w:highlight w:val="none"/>
        </w:rPr>
      </w:pPr>
      <w:r>
        <w:rPr>
          <w:rFonts w:hint="eastAsia" w:ascii="宋体" w:hAnsi="宋体" w:cs="宋体"/>
          <w:snapToGrid w:val="0"/>
          <w:color w:val="auto"/>
          <w:kern w:val="0"/>
          <w:szCs w:val="21"/>
          <w:highlight w:val="none"/>
        </w:rPr>
        <w:t xml:space="preserve">6.1.5 </w:t>
      </w:r>
      <w:r>
        <w:rPr>
          <w:rFonts w:hint="eastAsia" w:ascii="宋体" w:hAnsi="宋体" w:cs="宋体"/>
          <w:color w:val="auto"/>
          <w:kern w:val="0"/>
          <w:szCs w:val="21"/>
          <w:highlight w:val="none"/>
        </w:rPr>
        <w:t>评审人员</w:t>
      </w:r>
      <w:r>
        <w:rPr>
          <w:rFonts w:hint="eastAsia" w:ascii="宋体" w:hAnsi="宋体" w:cs="宋体"/>
          <w:snapToGrid w:val="0"/>
          <w:color w:val="auto"/>
          <w:kern w:val="0"/>
          <w:szCs w:val="21"/>
          <w:highlight w:val="none"/>
        </w:rPr>
        <w:t>首先应推选一名</w:t>
      </w:r>
      <w:r>
        <w:rPr>
          <w:rFonts w:hint="eastAsia" w:ascii="宋体" w:hAnsi="宋体" w:cs="宋体"/>
          <w:color w:val="auto"/>
          <w:kern w:val="0"/>
          <w:szCs w:val="21"/>
          <w:highlight w:val="none"/>
        </w:rPr>
        <w:t>评审人员</w:t>
      </w:r>
      <w:r>
        <w:rPr>
          <w:rFonts w:hint="eastAsia" w:ascii="宋体" w:hAnsi="宋体" w:cs="宋体"/>
          <w:snapToGrid w:val="0"/>
          <w:color w:val="auto"/>
          <w:kern w:val="0"/>
          <w:szCs w:val="21"/>
          <w:highlight w:val="none"/>
        </w:rPr>
        <w:t>组长。</w:t>
      </w:r>
      <w:r>
        <w:rPr>
          <w:rFonts w:hint="eastAsia" w:ascii="宋体" w:hAnsi="宋体" w:cs="宋体"/>
          <w:color w:val="auto"/>
          <w:kern w:val="0"/>
          <w:szCs w:val="21"/>
          <w:highlight w:val="none"/>
        </w:rPr>
        <w:t>评审人员</w:t>
      </w:r>
      <w:r>
        <w:rPr>
          <w:rFonts w:hint="eastAsia" w:ascii="宋体" w:hAnsi="宋体" w:cs="宋体"/>
          <w:snapToGrid w:val="0"/>
          <w:color w:val="auto"/>
          <w:kern w:val="0"/>
          <w:szCs w:val="21"/>
          <w:highlight w:val="none"/>
        </w:rPr>
        <w:t>组长负责评标活动的组织领导工作。组长和成员在表决时享有同等的权利。</w:t>
      </w:r>
    </w:p>
    <w:p w14:paraId="21DB90BA">
      <w:pPr>
        <w:autoSpaceDE w:val="0"/>
        <w:autoSpaceDN w:val="0"/>
        <w:adjustRightInd w:val="0"/>
        <w:snapToGrid w:val="0"/>
        <w:spacing w:line="360" w:lineRule="auto"/>
        <w:ind w:firstLine="420" w:firstLineChars="200"/>
        <w:jc w:val="left"/>
        <w:rPr>
          <w:rFonts w:ascii="宋体" w:hAnsi="宋体" w:cs="宋体"/>
          <w:snapToGrid w:val="0"/>
          <w:color w:val="auto"/>
          <w:kern w:val="0"/>
          <w:szCs w:val="21"/>
          <w:highlight w:val="none"/>
        </w:rPr>
      </w:pPr>
      <w:r>
        <w:rPr>
          <w:rFonts w:hint="eastAsia" w:ascii="宋体" w:hAnsi="宋体" w:cs="宋体"/>
          <w:snapToGrid w:val="0"/>
          <w:color w:val="auto"/>
          <w:kern w:val="0"/>
          <w:szCs w:val="21"/>
          <w:highlight w:val="none"/>
        </w:rPr>
        <w:t xml:space="preserve">6.1.6 </w:t>
      </w:r>
      <w:r>
        <w:rPr>
          <w:rFonts w:hint="eastAsia" w:ascii="宋体" w:hAnsi="宋体" w:cs="宋体"/>
          <w:color w:val="auto"/>
          <w:kern w:val="0"/>
          <w:szCs w:val="21"/>
          <w:highlight w:val="none"/>
        </w:rPr>
        <w:t>评审人员</w:t>
      </w:r>
      <w:r>
        <w:rPr>
          <w:rFonts w:hint="eastAsia" w:ascii="宋体" w:hAnsi="宋体" w:cs="宋体"/>
          <w:snapToGrid w:val="0"/>
          <w:color w:val="auto"/>
          <w:kern w:val="0"/>
          <w:szCs w:val="21"/>
          <w:highlight w:val="none"/>
        </w:rPr>
        <w:t>应严格按照比选文件规定的评标办法和本程序规定进行评标，不得改变比选文件中规定的评标标准、方法和中标条件。</w:t>
      </w:r>
    </w:p>
    <w:p w14:paraId="18504CAC">
      <w:pPr>
        <w:pStyle w:val="5"/>
        <w:snapToGrid w:val="0"/>
        <w:spacing w:before="0" w:line="360" w:lineRule="auto"/>
        <w:rPr>
          <w:rFonts w:ascii="宋体" w:hAnsi="宋体" w:eastAsia="宋体" w:cs="宋体"/>
          <w:snapToGrid w:val="0"/>
          <w:color w:val="auto"/>
          <w:highlight w:val="none"/>
        </w:rPr>
      </w:pPr>
      <w:r>
        <w:rPr>
          <w:rFonts w:hint="eastAsia" w:ascii="宋体" w:hAnsi="宋体" w:eastAsia="宋体" w:cs="宋体"/>
          <w:snapToGrid w:val="0"/>
          <w:color w:val="auto"/>
          <w:highlight w:val="none"/>
        </w:rPr>
        <w:t>6.2  评标原则</w:t>
      </w:r>
      <w:bookmarkEnd w:id="134"/>
      <w:bookmarkEnd w:id="135"/>
    </w:p>
    <w:p w14:paraId="4AA583D4">
      <w:pPr>
        <w:autoSpaceDE w:val="0"/>
        <w:autoSpaceDN w:val="0"/>
        <w:adjustRightInd w:val="0"/>
        <w:snapToGrid w:val="0"/>
        <w:spacing w:line="360" w:lineRule="auto"/>
        <w:ind w:firstLine="315" w:firstLineChars="150"/>
        <w:jc w:val="left"/>
        <w:rPr>
          <w:rFonts w:ascii="宋体" w:hAnsi="宋体" w:cs="宋体"/>
          <w:snapToGrid w:val="0"/>
          <w:color w:val="auto"/>
          <w:kern w:val="0"/>
          <w:szCs w:val="21"/>
          <w:highlight w:val="none"/>
        </w:rPr>
      </w:pPr>
      <w:r>
        <w:rPr>
          <w:rFonts w:hint="eastAsia" w:ascii="宋体" w:hAnsi="宋体" w:cs="宋体"/>
          <w:snapToGrid w:val="0"/>
          <w:color w:val="auto"/>
          <w:kern w:val="0"/>
          <w:szCs w:val="21"/>
          <w:highlight w:val="none"/>
        </w:rPr>
        <w:t xml:space="preserve"> </w:t>
      </w:r>
      <w:bookmarkStart w:id="136" w:name="_Toc200513163"/>
      <w:bookmarkStart w:id="137" w:name="_Toc224103354"/>
      <w:r>
        <w:rPr>
          <w:rFonts w:hint="eastAsia" w:ascii="宋体" w:hAnsi="宋体" w:cs="宋体"/>
          <w:snapToGrid w:val="0"/>
          <w:color w:val="auto"/>
          <w:kern w:val="0"/>
          <w:szCs w:val="21"/>
          <w:highlight w:val="none"/>
        </w:rPr>
        <w:t>(一) 公平、公正、科学和择优；</w:t>
      </w:r>
    </w:p>
    <w:p w14:paraId="777F96C9">
      <w:pPr>
        <w:autoSpaceDE w:val="0"/>
        <w:autoSpaceDN w:val="0"/>
        <w:adjustRightInd w:val="0"/>
        <w:snapToGrid w:val="0"/>
        <w:spacing w:line="360" w:lineRule="auto"/>
        <w:ind w:firstLine="420" w:firstLineChars="200"/>
        <w:jc w:val="left"/>
        <w:rPr>
          <w:rFonts w:ascii="宋体" w:hAnsi="宋体" w:cs="宋体"/>
          <w:snapToGrid w:val="0"/>
          <w:color w:val="auto"/>
          <w:kern w:val="0"/>
          <w:szCs w:val="21"/>
          <w:highlight w:val="none"/>
        </w:rPr>
      </w:pPr>
      <w:r>
        <w:rPr>
          <w:rFonts w:hint="eastAsia" w:ascii="宋体" w:hAnsi="宋体" w:cs="宋体"/>
          <w:snapToGrid w:val="0"/>
          <w:color w:val="auto"/>
          <w:kern w:val="0"/>
          <w:szCs w:val="21"/>
          <w:highlight w:val="none"/>
        </w:rPr>
        <w:t xml:space="preserve">(二) 依法评标、严格保密；   </w:t>
      </w:r>
    </w:p>
    <w:p w14:paraId="4115A8DF">
      <w:pPr>
        <w:autoSpaceDE w:val="0"/>
        <w:autoSpaceDN w:val="0"/>
        <w:adjustRightInd w:val="0"/>
        <w:snapToGrid w:val="0"/>
        <w:spacing w:line="360" w:lineRule="auto"/>
        <w:ind w:firstLine="420" w:firstLineChars="200"/>
        <w:jc w:val="left"/>
        <w:rPr>
          <w:rFonts w:ascii="宋体" w:hAnsi="宋体" w:cs="宋体"/>
          <w:snapToGrid w:val="0"/>
          <w:color w:val="auto"/>
          <w:kern w:val="0"/>
          <w:szCs w:val="21"/>
          <w:highlight w:val="none"/>
        </w:rPr>
      </w:pPr>
      <w:r>
        <w:rPr>
          <w:rFonts w:hint="eastAsia" w:ascii="宋体" w:hAnsi="宋体" w:cs="宋体"/>
          <w:snapToGrid w:val="0"/>
          <w:color w:val="auto"/>
          <w:kern w:val="0"/>
          <w:szCs w:val="21"/>
          <w:highlight w:val="none"/>
        </w:rPr>
        <w:t>(三) 反对不正当竞争；</w:t>
      </w:r>
    </w:p>
    <w:p w14:paraId="7A9DCC1F">
      <w:pPr>
        <w:autoSpaceDE w:val="0"/>
        <w:autoSpaceDN w:val="0"/>
        <w:adjustRightInd w:val="0"/>
        <w:snapToGrid w:val="0"/>
        <w:spacing w:line="360" w:lineRule="auto"/>
        <w:ind w:firstLine="420" w:firstLineChars="200"/>
        <w:jc w:val="left"/>
        <w:rPr>
          <w:rFonts w:ascii="宋体" w:hAnsi="宋体" w:cs="宋体"/>
          <w:snapToGrid w:val="0"/>
          <w:color w:val="auto"/>
          <w:kern w:val="0"/>
          <w:szCs w:val="21"/>
          <w:highlight w:val="none"/>
        </w:rPr>
      </w:pPr>
      <w:r>
        <w:rPr>
          <w:rFonts w:hint="eastAsia" w:ascii="宋体" w:hAnsi="宋体" w:cs="宋体"/>
          <w:snapToGrid w:val="0"/>
          <w:color w:val="auto"/>
          <w:kern w:val="0"/>
          <w:szCs w:val="21"/>
          <w:highlight w:val="none"/>
        </w:rPr>
        <w:t>(四) 定性的结论由</w:t>
      </w:r>
      <w:r>
        <w:rPr>
          <w:rFonts w:hint="eastAsia" w:ascii="宋体" w:hAnsi="宋体" w:cs="宋体"/>
          <w:color w:val="auto"/>
          <w:kern w:val="0"/>
          <w:szCs w:val="21"/>
          <w:highlight w:val="none"/>
        </w:rPr>
        <w:t>评审人员</w:t>
      </w:r>
      <w:r>
        <w:rPr>
          <w:rFonts w:hint="eastAsia" w:ascii="宋体" w:hAnsi="宋体" w:cs="宋体"/>
          <w:snapToGrid w:val="0"/>
          <w:color w:val="auto"/>
          <w:kern w:val="0"/>
          <w:szCs w:val="21"/>
          <w:highlight w:val="none"/>
        </w:rPr>
        <w:t>全体成员按少数服从多数的原则，以记名投票方式决定。</w:t>
      </w:r>
    </w:p>
    <w:p w14:paraId="0A2DB97D">
      <w:pPr>
        <w:autoSpaceDE w:val="0"/>
        <w:autoSpaceDN w:val="0"/>
        <w:adjustRightInd w:val="0"/>
        <w:snapToGrid w:val="0"/>
        <w:spacing w:line="360" w:lineRule="auto"/>
        <w:jc w:val="left"/>
        <w:rPr>
          <w:rFonts w:ascii="宋体" w:hAnsi="宋体" w:cs="宋体"/>
          <w:b/>
          <w:snapToGrid w:val="0"/>
          <w:color w:val="auto"/>
          <w:sz w:val="24"/>
          <w:highlight w:val="none"/>
        </w:rPr>
      </w:pPr>
      <w:r>
        <w:rPr>
          <w:rFonts w:hint="eastAsia" w:ascii="宋体" w:hAnsi="宋体" w:cs="宋体"/>
          <w:b/>
          <w:snapToGrid w:val="0"/>
          <w:color w:val="auto"/>
          <w:sz w:val="24"/>
          <w:highlight w:val="none"/>
        </w:rPr>
        <w:t>6.3  评标</w:t>
      </w:r>
      <w:bookmarkEnd w:id="136"/>
      <w:bookmarkEnd w:id="137"/>
    </w:p>
    <w:p w14:paraId="754CB98B">
      <w:pPr>
        <w:autoSpaceDE w:val="0"/>
        <w:autoSpaceDN w:val="0"/>
        <w:adjustRightInd w:val="0"/>
        <w:snapToGrid w:val="0"/>
        <w:spacing w:line="360" w:lineRule="auto"/>
        <w:ind w:firstLine="420"/>
        <w:jc w:val="left"/>
        <w:rPr>
          <w:rFonts w:ascii="宋体" w:hAnsi="宋体" w:cs="宋体"/>
          <w:snapToGrid w:val="0"/>
          <w:color w:val="auto"/>
          <w:kern w:val="0"/>
          <w:szCs w:val="21"/>
          <w:highlight w:val="none"/>
        </w:rPr>
      </w:pPr>
      <w:r>
        <w:rPr>
          <w:rFonts w:hint="eastAsia" w:ascii="宋体" w:hAnsi="宋体" w:cs="宋体"/>
          <w:color w:val="auto"/>
          <w:kern w:val="0"/>
          <w:szCs w:val="21"/>
          <w:highlight w:val="none"/>
        </w:rPr>
        <w:t>评审人员</w:t>
      </w:r>
      <w:r>
        <w:rPr>
          <w:rFonts w:hint="eastAsia" w:ascii="宋体" w:hAnsi="宋体" w:cs="宋体"/>
          <w:snapToGrid w:val="0"/>
          <w:color w:val="auto"/>
          <w:kern w:val="0"/>
          <w:szCs w:val="21"/>
          <w:highlight w:val="none"/>
        </w:rPr>
        <w:t>按照第三章“评标办法”规定的方法、评审因素、标准和程序对投标文件进行评审。第三章“评标办法”没有规定的方法、评审因素和标准，不作为评标依据。</w:t>
      </w:r>
    </w:p>
    <w:p w14:paraId="69086CC7">
      <w:pPr>
        <w:pStyle w:val="4"/>
        <w:rPr>
          <w:rFonts w:ascii="宋体" w:hAnsi="宋体" w:eastAsia="宋体" w:cs="宋体"/>
          <w:snapToGrid w:val="0"/>
          <w:color w:val="auto"/>
          <w:spacing w:val="0"/>
          <w:highlight w:val="none"/>
        </w:rPr>
      </w:pPr>
      <w:bookmarkStart w:id="138" w:name="_Toc224103355"/>
      <w:bookmarkStart w:id="139" w:name="_Toc200513164"/>
      <w:bookmarkStart w:id="140" w:name="_Toc8705"/>
      <w:r>
        <w:rPr>
          <w:rFonts w:hint="eastAsia" w:ascii="宋体" w:hAnsi="宋体" w:eastAsia="宋体" w:cs="宋体"/>
          <w:snapToGrid w:val="0"/>
          <w:color w:val="auto"/>
          <w:spacing w:val="0"/>
          <w:highlight w:val="none"/>
        </w:rPr>
        <w:t>7.  合同授予</w:t>
      </w:r>
      <w:bookmarkEnd w:id="138"/>
      <w:bookmarkEnd w:id="139"/>
      <w:bookmarkEnd w:id="140"/>
    </w:p>
    <w:p w14:paraId="35FC1DED">
      <w:pPr>
        <w:pStyle w:val="5"/>
        <w:snapToGrid w:val="0"/>
        <w:spacing w:before="0" w:line="360" w:lineRule="auto"/>
        <w:rPr>
          <w:rFonts w:ascii="宋体" w:hAnsi="宋体" w:eastAsia="宋体" w:cs="宋体"/>
          <w:snapToGrid w:val="0"/>
          <w:color w:val="auto"/>
          <w:highlight w:val="none"/>
        </w:rPr>
      </w:pPr>
      <w:bookmarkStart w:id="141" w:name="_Toc224103356"/>
      <w:bookmarkStart w:id="142" w:name="_Toc200513165"/>
      <w:r>
        <w:rPr>
          <w:rFonts w:hint="eastAsia" w:ascii="宋体" w:hAnsi="宋体" w:eastAsia="宋体" w:cs="宋体"/>
          <w:snapToGrid w:val="0"/>
          <w:color w:val="auto"/>
          <w:highlight w:val="none"/>
        </w:rPr>
        <w:t>7.1  定标方式</w:t>
      </w:r>
      <w:bookmarkEnd w:id="141"/>
      <w:bookmarkEnd w:id="142"/>
    </w:p>
    <w:p w14:paraId="2C4E1D24">
      <w:pPr>
        <w:autoSpaceDE w:val="0"/>
        <w:autoSpaceDN w:val="0"/>
        <w:adjustRightInd w:val="0"/>
        <w:spacing w:line="360" w:lineRule="auto"/>
        <w:ind w:firstLine="444" w:firstLineChars="204"/>
        <w:jc w:val="left"/>
        <w:rPr>
          <w:rFonts w:ascii="宋体" w:hAnsi="宋体" w:cs="宋体"/>
          <w:color w:val="auto"/>
          <w:spacing w:val="4"/>
          <w:kern w:val="0"/>
          <w:szCs w:val="21"/>
          <w:highlight w:val="none"/>
        </w:rPr>
      </w:pPr>
      <w:r>
        <w:rPr>
          <w:rFonts w:hint="eastAsia" w:ascii="宋体" w:hAnsi="宋体" w:cs="宋体"/>
          <w:color w:val="auto"/>
          <w:spacing w:val="4"/>
          <w:kern w:val="0"/>
          <w:szCs w:val="21"/>
          <w:highlight w:val="none"/>
        </w:rPr>
        <w:t>7.1.1 定标原则:能够最大限度地满足比选文件中规定的各项综合评价标准的投标，应当确定为中标人。</w:t>
      </w:r>
    </w:p>
    <w:p w14:paraId="639C4A7C">
      <w:pPr>
        <w:autoSpaceDE w:val="0"/>
        <w:autoSpaceDN w:val="0"/>
        <w:adjustRightInd w:val="0"/>
        <w:spacing w:line="360" w:lineRule="auto"/>
        <w:ind w:firstLine="444" w:firstLineChars="204"/>
        <w:jc w:val="left"/>
        <w:rPr>
          <w:rFonts w:ascii="宋体" w:hAnsi="宋体" w:cs="宋体"/>
          <w:color w:val="auto"/>
          <w:spacing w:val="4"/>
          <w:kern w:val="0"/>
          <w:szCs w:val="21"/>
          <w:highlight w:val="none"/>
        </w:rPr>
      </w:pPr>
      <w:r>
        <w:rPr>
          <w:rFonts w:hint="eastAsia" w:ascii="宋体" w:hAnsi="宋体" w:cs="宋体"/>
          <w:color w:val="auto"/>
          <w:spacing w:val="4"/>
          <w:kern w:val="0"/>
          <w:szCs w:val="21"/>
          <w:highlight w:val="none"/>
        </w:rPr>
        <w:t>7.1.2 定标方法:</w:t>
      </w:r>
      <w:r>
        <w:rPr>
          <w:rFonts w:hint="eastAsia" w:ascii="宋体" w:hAnsi="宋体" w:cs="宋体"/>
          <w:snapToGrid w:val="0"/>
          <w:color w:val="auto"/>
          <w:kern w:val="0"/>
          <w:szCs w:val="21"/>
          <w:highlight w:val="none"/>
        </w:rPr>
        <w:t>比选人依据</w:t>
      </w:r>
      <w:r>
        <w:rPr>
          <w:rFonts w:hint="eastAsia" w:ascii="宋体" w:hAnsi="宋体" w:cs="宋体"/>
          <w:color w:val="auto"/>
          <w:kern w:val="0"/>
          <w:szCs w:val="21"/>
          <w:highlight w:val="none"/>
        </w:rPr>
        <w:t>评审人员</w:t>
      </w:r>
      <w:r>
        <w:rPr>
          <w:rFonts w:hint="eastAsia" w:ascii="宋体" w:hAnsi="宋体" w:cs="宋体"/>
          <w:snapToGrid w:val="0"/>
          <w:color w:val="auto"/>
          <w:kern w:val="0"/>
          <w:szCs w:val="21"/>
          <w:highlight w:val="none"/>
        </w:rPr>
        <w:t>推荐的中标候选人确定中标人，</w:t>
      </w:r>
      <w:r>
        <w:rPr>
          <w:rFonts w:hint="eastAsia" w:ascii="宋体" w:hAnsi="宋体" w:cs="宋体"/>
          <w:color w:val="auto"/>
          <w:kern w:val="0"/>
          <w:szCs w:val="21"/>
          <w:highlight w:val="none"/>
        </w:rPr>
        <w:t>评审人员</w:t>
      </w:r>
      <w:r>
        <w:rPr>
          <w:rFonts w:hint="eastAsia" w:ascii="宋体" w:hAnsi="宋体" w:cs="宋体"/>
          <w:snapToGrid w:val="0"/>
          <w:color w:val="auto"/>
          <w:kern w:val="0"/>
          <w:szCs w:val="21"/>
          <w:highlight w:val="none"/>
        </w:rPr>
        <w:t>推荐中标候选人的人数见竞选人须知前附表。</w:t>
      </w:r>
    </w:p>
    <w:p w14:paraId="0C017924">
      <w:pPr>
        <w:autoSpaceDE w:val="0"/>
        <w:autoSpaceDN w:val="0"/>
        <w:adjustRightInd w:val="0"/>
        <w:spacing w:line="360" w:lineRule="auto"/>
        <w:ind w:firstLine="218" w:firstLineChars="100"/>
        <w:jc w:val="left"/>
        <w:rPr>
          <w:rFonts w:ascii="宋体" w:hAnsi="宋体" w:cs="宋体"/>
          <w:color w:val="auto"/>
          <w:spacing w:val="4"/>
          <w:kern w:val="0"/>
          <w:szCs w:val="21"/>
          <w:highlight w:val="none"/>
        </w:rPr>
      </w:pPr>
      <w:r>
        <w:rPr>
          <w:rFonts w:hint="eastAsia" w:ascii="宋体" w:hAnsi="宋体" w:cs="宋体"/>
          <w:color w:val="auto"/>
          <w:spacing w:val="4"/>
          <w:kern w:val="0"/>
          <w:szCs w:val="21"/>
          <w:highlight w:val="none"/>
        </w:rPr>
        <w:t>（1）比选人应当确定</w:t>
      </w:r>
      <w:r>
        <w:rPr>
          <w:rFonts w:hint="eastAsia" w:ascii="宋体" w:hAnsi="宋体" w:cs="宋体"/>
          <w:color w:val="auto"/>
          <w:kern w:val="0"/>
          <w:szCs w:val="21"/>
          <w:highlight w:val="none"/>
        </w:rPr>
        <w:t>评审人员</w:t>
      </w:r>
      <w:r>
        <w:rPr>
          <w:rFonts w:hint="eastAsia" w:ascii="宋体" w:hAnsi="宋体" w:cs="宋体"/>
          <w:color w:val="auto"/>
          <w:spacing w:val="4"/>
          <w:kern w:val="0"/>
          <w:szCs w:val="21"/>
          <w:highlight w:val="none"/>
        </w:rPr>
        <w:t>在评标报告中推荐排名第一的中标候选人为中标人。</w:t>
      </w:r>
    </w:p>
    <w:p w14:paraId="41A785C2">
      <w:pPr>
        <w:autoSpaceDE w:val="0"/>
        <w:autoSpaceDN w:val="0"/>
        <w:adjustRightInd w:val="0"/>
        <w:spacing w:line="360" w:lineRule="auto"/>
        <w:ind w:firstLine="210" w:firstLineChars="100"/>
        <w:jc w:val="left"/>
        <w:rPr>
          <w:rFonts w:ascii="宋体" w:hAnsi="宋体" w:cs="宋体"/>
          <w:color w:val="auto"/>
          <w:spacing w:val="-4"/>
          <w:kern w:val="0"/>
          <w:highlight w:val="none"/>
        </w:rPr>
      </w:pPr>
      <w:r>
        <w:rPr>
          <w:rFonts w:hint="eastAsia" w:ascii="宋体" w:hAnsi="宋体" w:cs="宋体"/>
          <w:color w:val="auto"/>
          <w:kern w:val="0"/>
          <w:highlight w:val="none"/>
        </w:rPr>
        <w:t>（2）如果排名第一的中标候选人放弃中标、因不可抗力提出不能履行合同，或者比选文件规定应当提交履约担保而在规定的期限内未能提交的，比选人可以确定排名第二的中标候选人为中标人。排名第二的中标候选人因上述同样的原因不能签订合同的，比选人可以确定排名第三的中标候选人为中标人。排名第三的中标候选</w:t>
      </w:r>
      <w:r>
        <w:rPr>
          <w:rFonts w:hint="eastAsia" w:ascii="宋体" w:hAnsi="宋体" w:cs="宋体"/>
          <w:color w:val="auto"/>
          <w:spacing w:val="-4"/>
          <w:kern w:val="0"/>
          <w:highlight w:val="none"/>
        </w:rPr>
        <w:t>人因上述同样的原因不能签订施工合同的，比选人应当依法重新组织比选。</w:t>
      </w:r>
    </w:p>
    <w:p w14:paraId="1AB49074">
      <w:pPr>
        <w:autoSpaceDE w:val="0"/>
        <w:autoSpaceDN w:val="0"/>
        <w:adjustRightInd w:val="0"/>
        <w:spacing w:line="360" w:lineRule="auto"/>
        <w:ind w:firstLine="210" w:firstLineChars="100"/>
        <w:jc w:val="left"/>
        <w:rPr>
          <w:rFonts w:ascii="宋体" w:hAnsi="宋体" w:cs="宋体"/>
          <w:color w:val="auto"/>
          <w:spacing w:val="4"/>
          <w:kern w:val="0"/>
          <w:szCs w:val="21"/>
          <w:highlight w:val="none"/>
        </w:rPr>
      </w:pPr>
      <w:r>
        <w:rPr>
          <w:rFonts w:hint="eastAsia" w:ascii="宋体" w:hAnsi="宋体" w:cs="宋体"/>
          <w:color w:val="auto"/>
          <w:kern w:val="0"/>
          <w:highlight w:val="none"/>
        </w:rPr>
        <w:t>（3）中标价为中标人的竞选报价。</w:t>
      </w:r>
    </w:p>
    <w:p w14:paraId="648C4643">
      <w:pPr>
        <w:pStyle w:val="5"/>
        <w:snapToGrid w:val="0"/>
        <w:spacing w:before="0" w:line="360" w:lineRule="auto"/>
        <w:rPr>
          <w:rFonts w:ascii="宋体" w:hAnsi="宋体" w:eastAsia="宋体" w:cs="宋体"/>
          <w:snapToGrid w:val="0"/>
          <w:color w:val="auto"/>
          <w:highlight w:val="none"/>
        </w:rPr>
      </w:pPr>
      <w:bookmarkStart w:id="143" w:name="_Toc224103357"/>
      <w:bookmarkStart w:id="144" w:name="_Toc200513166"/>
      <w:r>
        <w:rPr>
          <w:rFonts w:hint="eastAsia" w:ascii="宋体" w:hAnsi="宋体" w:eastAsia="宋体" w:cs="宋体"/>
          <w:snapToGrid w:val="0"/>
          <w:color w:val="auto"/>
          <w:highlight w:val="none"/>
        </w:rPr>
        <w:t>7.2  中标通知</w:t>
      </w:r>
      <w:bookmarkEnd w:id="143"/>
      <w:bookmarkEnd w:id="144"/>
    </w:p>
    <w:p w14:paraId="10ED26C5">
      <w:pPr>
        <w:spacing w:line="360" w:lineRule="auto"/>
        <w:ind w:firstLine="436" w:firstLineChars="200"/>
        <w:rPr>
          <w:rFonts w:ascii="宋体" w:hAnsi="宋体" w:cs="宋体"/>
          <w:color w:val="auto"/>
          <w:spacing w:val="4"/>
          <w:kern w:val="0"/>
          <w:szCs w:val="21"/>
          <w:highlight w:val="none"/>
        </w:rPr>
      </w:pPr>
      <w:r>
        <w:rPr>
          <w:rFonts w:hint="eastAsia" w:ascii="宋体" w:hAnsi="宋体" w:cs="宋体"/>
          <w:color w:val="auto"/>
          <w:spacing w:val="4"/>
          <w:kern w:val="0"/>
          <w:szCs w:val="21"/>
          <w:highlight w:val="none"/>
        </w:rPr>
        <w:t>比选人在评标结束后将</w:t>
      </w:r>
      <w:r>
        <w:rPr>
          <w:rFonts w:hint="eastAsia" w:ascii="宋体" w:hAnsi="宋体" w:cs="宋体"/>
          <w:color w:val="auto"/>
          <w:kern w:val="0"/>
          <w:szCs w:val="21"/>
          <w:highlight w:val="none"/>
        </w:rPr>
        <w:t>评审人员</w:t>
      </w:r>
      <w:r>
        <w:rPr>
          <w:rFonts w:hint="eastAsia" w:ascii="宋体" w:hAnsi="宋体" w:cs="宋体"/>
          <w:color w:val="auto"/>
          <w:spacing w:val="4"/>
          <w:kern w:val="0"/>
          <w:szCs w:val="21"/>
          <w:highlight w:val="none"/>
        </w:rPr>
        <w:t>推荐的中标候选人进行中标结果公示。公示后无异议或投诉、异议不成立，比选人在公示后按照比选文件规定的定标办法确定中标人。在确定中标人后发出中选通知书。</w:t>
      </w:r>
    </w:p>
    <w:p w14:paraId="440ADB94">
      <w:pPr>
        <w:pStyle w:val="5"/>
        <w:snapToGrid w:val="0"/>
        <w:spacing w:before="0" w:line="360" w:lineRule="auto"/>
        <w:rPr>
          <w:rFonts w:ascii="宋体" w:hAnsi="宋体" w:eastAsia="宋体" w:cs="宋体"/>
          <w:snapToGrid w:val="0"/>
          <w:color w:val="auto"/>
          <w:highlight w:val="none"/>
        </w:rPr>
      </w:pPr>
      <w:bookmarkStart w:id="145" w:name="_Toc224103358"/>
      <w:bookmarkStart w:id="146" w:name="_Toc200513167"/>
      <w:r>
        <w:rPr>
          <w:rFonts w:hint="eastAsia" w:ascii="宋体" w:hAnsi="宋体" w:eastAsia="宋体" w:cs="宋体"/>
          <w:snapToGrid w:val="0"/>
          <w:color w:val="auto"/>
          <w:highlight w:val="none"/>
        </w:rPr>
        <w:t>7.3  履约担保</w:t>
      </w:r>
      <w:bookmarkEnd w:id="145"/>
      <w:bookmarkEnd w:id="146"/>
    </w:p>
    <w:p w14:paraId="6258BDAD">
      <w:pPr>
        <w:autoSpaceDE w:val="0"/>
        <w:autoSpaceDN w:val="0"/>
        <w:adjustRightInd w:val="0"/>
        <w:snapToGrid w:val="0"/>
        <w:spacing w:line="360" w:lineRule="auto"/>
        <w:ind w:firstLine="420"/>
        <w:rPr>
          <w:rFonts w:ascii="宋体" w:hAnsi="宋体" w:cs="宋体"/>
          <w:snapToGrid w:val="0"/>
          <w:color w:val="auto"/>
          <w:spacing w:val="-4"/>
          <w:kern w:val="0"/>
          <w:szCs w:val="21"/>
          <w:highlight w:val="none"/>
        </w:rPr>
      </w:pPr>
      <w:bookmarkStart w:id="147" w:name="_Toc200513168"/>
      <w:bookmarkStart w:id="148" w:name="_Toc224103359"/>
      <w:r>
        <w:rPr>
          <w:rFonts w:hint="eastAsia" w:ascii="宋体" w:hAnsi="宋体" w:cs="宋体"/>
          <w:snapToGrid w:val="0"/>
          <w:color w:val="auto"/>
          <w:spacing w:val="-4"/>
          <w:kern w:val="0"/>
          <w:szCs w:val="21"/>
          <w:highlight w:val="none"/>
        </w:rPr>
        <w:t>7.3.1  在签订合同前，中标人应按竞选人须知前附表规定的金额和形式向比选人提交履约担保。</w:t>
      </w:r>
    </w:p>
    <w:p w14:paraId="794A23B2">
      <w:pPr>
        <w:autoSpaceDE w:val="0"/>
        <w:autoSpaceDN w:val="0"/>
        <w:adjustRightInd w:val="0"/>
        <w:snapToGrid w:val="0"/>
        <w:spacing w:line="360" w:lineRule="auto"/>
        <w:ind w:firstLine="420"/>
        <w:jc w:val="left"/>
        <w:rPr>
          <w:rFonts w:ascii="宋体" w:hAnsi="宋体" w:cs="宋体"/>
          <w:snapToGrid w:val="0"/>
          <w:color w:val="auto"/>
          <w:kern w:val="0"/>
          <w:szCs w:val="21"/>
          <w:highlight w:val="none"/>
        </w:rPr>
      </w:pPr>
      <w:r>
        <w:rPr>
          <w:rFonts w:hint="eastAsia" w:ascii="宋体" w:hAnsi="宋体" w:cs="宋体"/>
          <w:snapToGrid w:val="0"/>
          <w:color w:val="auto"/>
          <w:kern w:val="0"/>
          <w:szCs w:val="21"/>
          <w:highlight w:val="none"/>
        </w:rPr>
        <w:t>7.3.2  中标人不能按本章要求提交履约担保的，视为放弃中标，给比选人造成的损失超过</w:t>
      </w:r>
      <w:r>
        <w:rPr>
          <w:rFonts w:hint="eastAsia" w:ascii="宋体" w:hAnsi="宋体" w:cs="宋体"/>
          <w:color w:val="auto"/>
          <w:szCs w:val="21"/>
          <w:highlight w:val="none"/>
        </w:rPr>
        <w:t>保证金</w:t>
      </w:r>
      <w:r>
        <w:rPr>
          <w:rFonts w:hint="eastAsia" w:ascii="宋体" w:hAnsi="宋体" w:cs="宋体"/>
          <w:snapToGrid w:val="0"/>
          <w:color w:val="auto"/>
          <w:kern w:val="0"/>
          <w:szCs w:val="21"/>
          <w:highlight w:val="none"/>
        </w:rPr>
        <w:t>数额的，中标人还应当对超过部分予以赔偿。</w:t>
      </w:r>
    </w:p>
    <w:p w14:paraId="6EAA97A4">
      <w:pPr>
        <w:pStyle w:val="5"/>
        <w:snapToGrid w:val="0"/>
        <w:spacing w:before="0" w:line="360" w:lineRule="auto"/>
        <w:rPr>
          <w:rFonts w:ascii="宋体" w:hAnsi="宋体" w:eastAsia="宋体" w:cs="宋体"/>
          <w:snapToGrid w:val="0"/>
          <w:color w:val="auto"/>
          <w:highlight w:val="none"/>
        </w:rPr>
      </w:pPr>
      <w:r>
        <w:rPr>
          <w:rFonts w:hint="eastAsia" w:ascii="宋体" w:hAnsi="宋体" w:eastAsia="宋体" w:cs="宋体"/>
          <w:snapToGrid w:val="0"/>
          <w:color w:val="auto"/>
          <w:highlight w:val="none"/>
        </w:rPr>
        <w:t>7.4  签订合同</w:t>
      </w:r>
      <w:bookmarkEnd w:id="147"/>
      <w:bookmarkEnd w:id="148"/>
    </w:p>
    <w:p w14:paraId="69FAF71D">
      <w:pPr>
        <w:autoSpaceDE w:val="0"/>
        <w:autoSpaceDN w:val="0"/>
        <w:adjustRightInd w:val="0"/>
        <w:snapToGrid w:val="0"/>
        <w:spacing w:line="360" w:lineRule="auto"/>
        <w:ind w:firstLine="420"/>
        <w:rPr>
          <w:rFonts w:ascii="宋体" w:hAnsi="宋体" w:cs="宋体"/>
          <w:snapToGrid w:val="0"/>
          <w:color w:val="auto"/>
          <w:kern w:val="0"/>
          <w:szCs w:val="21"/>
          <w:highlight w:val="none"/>
        </w:rPr>
      </w:pPr>
      <w:r>
        <w:rPr>
          <w:rFonts w:hint="eastAsia" w:ascii="宋体" w:hAnsi="宋体" w:cs="宋体"/>
          <w:snapToGrid w:val="0"/>
          <w:color w:val="auto"/>
          <w:kern w:val="0"/>
          <w:szCs w:val="21"/>
          <w:highlight w:val="none"/>
        </w:rPr>
        <w:t>7.4.1 比选人和中标人应当自中选通知书发出之日起5天内，根据比选文件和中标人的竞选文件订立书面合同。中标人无正当理由拒签合同的，比选人取消其中标资格；</w:t>
      </w:r>
    </w:p>
    <w:p w14:paraId="21E81A07">
      <w:pPr>
        <w:autoSpaceDE w:val="0"/>
        <w:autoSpaceDN w:val="0"/>
        <w:adjustRightInd w:val="0"/>
        <w:snapToGrid w:val="0"/>
        <w:spacing w:line="360" w:lineRule="auto"/>
        <w:ind w:firstLine="420"/>
        <w:jc w:val="left"/>
        <w:rPr>
          <w:rFonts w:ascii="宋体" w:hAnsi="宋体" w:cs="宋体"/>
          <w:snapToGrid w:val="0"/>
          <w:color w:val="auto"/>
          <w:spacing w:val="-4"/>
          <w:kern w:val="0"/>
          <w:szCs w:val="21"/>
          <w:highlight w:val="none"/>
        </w:rPr>
      </w:pPr>
      <w:r>
        <w:rPr>
          <w:rFonts w:hint="eastAsia" w:ascii="宋体" w:hAnsi="宋体" w:cs="宋体"/>
          <w:snapToGrid w:val="0"/>
          <w:color w:val="auto"/>
          <w:kern w:val="0"/>
          <w:szCs w:val="21"/>
          <w:highlight w:val="none"/>
        </w:rPr>
        <w:t xml:space="preserve">7.4.2 </w:t>
      </w:r>
      <w:r>
        <w:rPr>
          <w:rFonts w:hint="eastAsia" w:ascii="宋体" w:hAnsi="宋体" w:cs="宋体"/>
          <w:snapToGrid w:val="0"/>
          <w:color w:val="auto"/>
          <w:spacing w:val="-4"/>
          <w:kern w:val="0"/>
          <w:szCs w:val="21"/>
          <w:highlight w:val="none"/>
        </w:rPr>
        <w:t>发出中选通知书后，比选人无正当理由拒签合同的，给中标人造成损失的，还应当赔偿损失。</w:t>
      </w:r>
    </w:p>
    <w:p w14:paraId="40355D19">
      <w:pPr>
        <w:pStyle w:val="4"/>
        <w:rPr>
          <w:rFonts w:ascii="宋体" w:hAnsi="宋体" w:eastAsia="宋体" w:cs="宋体"/>
          <w:snapToGrid w:val="0"/>
          <w:color w:val="auto"/>
          <w:spacing w:val="0"/>
          <w:highlight w:val="none"/>
        </w:rPr>
      </w:pPr>
      <w:bookmarkStart w:id="149" w:name="_Toc13681"/>
      <w:bookmarkStart w:id="150" w:name="_Toc200513169"/>
      <w:bookmarkStart w:id="151" w:name="_Toc224103360"/>
      <w:r>
        <w:rPr>
          <w:rFonts w:hint="eastAsia" w:ascii="宋体" w:hAnsi="宋体" w:eastAsia="宋体" w:cs="宋体"/>
          <w:snapToGrid w:val="0"/>
          <w:color w:val="auto"/>
          <w:spacing w:val="0"/>
          <w:highlight w:val="none"/>
        </w:rPr>
        <w:t>8.  重新比选和不再比选</w:t>
      </w:r>
      <w:bookmarkEnd w:id="149"/>
      <w:bookmarkEnd w:id="150"/>
      <w:bookmarkEnd w:id="151"/>
    </w:p>
    <w:p w14:paraId="1D603699">
      <w:pPr>
        <w:pStyle w:val="5"/>
        <w:snapToGrid w:val="0"/>
        <w:spacing w:before="0" w:line="360" w:lineRule="auto"/>
        <w:rPr>
          <w:rFonts w:ascii="宋体" w:hAnsi="宋体" w:eastAsia="宋体" w:cs="宋体"/>
          <w:snapToGrid w:val="0"/>
          <w:color w:val="auto"/>
          <w:highlight w:val="none"/>
        </w:rPr>
      </w:pPr>
      <w:bookmarkStart w:id="152" w:name="_Toc200513170"/>
      <w:bookmarkStart w:id="153" w:name="_Toc224103361"/>
      <w:r>
        <w:rPr>
          <w:rFonts w:hint="eastAsia" w:ascii="宋体" w:hAnsi="宋体" w:eastAsia="宋体" w:cs="宋体"/>
          <w:snapToGrid w:val="0"/>
          <w:color w:val="auto"/>
          <w:highlight w:val="none"/>
        </w:rPr>
        <w:t>8.1  重新比选</w:t>
      </w:r>
      <w:bookmarkEnd w:id="152"/>
      <w:bookmarkEnd w:id="153"/>
    </w:p>
    <w:p w14:paraId="3D5C86D4">
      <w:pPr>
        <w:autoSpaceDE w:val="0"/>
        <w:autoSpaceDN w:val="0"/>
        <w:adjustRightInd w:val="0"/>
        <w:snapToGrid w:val="0"/>
        <w:spacing w:line="360" w:lineRule="auto"/>
        <w:ind w:left="359" w:leftChars="171"/>
        <w:rPr>
          <w:rFonts w:ascii="宋体" w:hAnsi="宋体"/>
          <w:snapToGrid w:val="0"/>
          <w:color w:val="auto"/>
          <w:kern w:val="0"/>
          <w:szCs w:val="21"/>
          <w:highlight w:val="none"/>
        </w:rPr>
      </w:pPr>
      <w:bookmarkStart w:id="154" w:name="_Toc224103362"/>
      <w:bookmarkStart w:id="155" w:name="_Toc200513171"/>
      <w:bookmarkStart w:id="156" w:name="_Toc287620730"/>
      <w:bookmarkStart w:id="157" w:name="_Toc277082597"/>
      <w:bookmarkStart w:id="158" w:name="_Toc287607791"/>
      <w:r>
        <w:rPr>
          <w:rFonts w:ascii="宋体" w:hAnsi="宋体"/>
          <w:snapToGrid w:val="0"/>
          <w:color w:val="auto"/>
          <w:kern w:val="0"/>
          <w:szCs w:val="21"/>
          <w:highlight w:val="none"/>
        </w:rPr>
        <w:t>有下列情形之一的，</w:t>
      </w:r>
      <w:r>
        <w:rPr>
          <w:rFonts w:hint="eastAsia" w:ascii="宋体" w:hAnsi="宋体"/>
          <w:snapToGrid w:val="0"/>
          <w:color w:val="auto"/>
          <w:kern w:val="0"/>
          <w:szCs w:val="21"/>
          <w:highlight w:val="none"/>
        </w:rPr>
        <w:t>比选人</w:t>
      </w:r>
      <w:r>
        <w:rPr>
          <w:rFonts w:ascii="宋体" w:hAnsi="宋体"/>
          <w:snapToGrid w:val="0"/>
          <w:color w:val="auto"/>
          <w:kern w:val="0"/>
          <w:szCs w:val="21"/>
          <w:highlight w:val="none"/>
        </w:rPr>
        <w:t>将重新招标：</w:t>
      </w:r>
    </w:p>
    <w:p w14:paraId="19C17605">
      <w:pPr>
        <w:autoSpaceDE w:val="0"/>
        <w:autoSpaceDN w:val="0"/>
        <w:adjustRightInd w:val="0"/>
        <w:snapToGrid w:val="0"/>
        <w:spacing w:line="360" w:lineRule="auto"/>
        <w:ind w:firstLine="420" w:firstLineChars="200"/>
        <w:rPr>
          <w:rFonts w:ascii="宋体" w:hAnsi="宋体"/>
          <w:snapToGrid w:val="0"/>
          <w:color w:val="auto"/>
          <w:kern w:val="0"/>
          <w:szCs w:val="21"/>
          <w:highlight w:val="none"/>
        </w:rPr>
      </w:pPr>
      <w:r>
        <w:rPr>
          <w:rFonts w:ascii="宋体" w:hAnsi="宋体"/>
          <w:snapToGrid w:val="0"/>
          <w:color w:val="auto"/>
          <w:kern w:val="0"/>
          <w:szCs w:val="21"/>
          <w:highlight w:val="none"/>
        </w:rPr>
        <w:t>（1）</w:t>
      </w:r>
      <w:r>
        <w:rPr>
          <w:rFonts w:hint="eastAsia" w:ascii="宋体" w:hAnsi="宋体"/>
          <w:snapToGrid w:val="0"/>
          <w:color w:val="auto"/>
          <w:kern w:val="0"/>
          <w:szCs w:val="21"/>
          <w:highlight w:val="none"/>
        </w:rPr>
        <w:t>竞选</w:t>
      </w:r>
      <w:r>
        <w:rPr>
          <w:rFonts w:ascii="宋体" w:hAnsi="宋体"/>
          <w:snapToGrid w:val="0"/>
          <w:color w:val="auto"/>
          <w:kern w:val="0"/>
          <w:szCs w:val="21"/>
          <w:highlight w:val="none"/>
        </w:rPr>
        <w:t>截止时间止，</w:t>
      </w:r>
      <w:r>
        <w:rPr>
          <w:rFonts w:hint="eastAsia" w:ascii="宋体" w:hAnsi="宋体"/>
          <w:snapToGrid w:val="0"/>
          <w:color w:val="auto"/>
          <w:kern w:val="0"/>
          <w:szCs w:val="21"/>
          <w:highlight w:val="none"/>
        </w:rPr>
        <w:t>竞选</w:t>
      </w:r>
      <w:r>
        <w:rPr>
          <w:rFonts w:ascii="宋体" w:hAnsi="宋体"/>
          <w:snapToGrid w:val="0"/>
          <w:color w:val="auto"/>
          <w:kern w:val="0"/>
          <w:szCs w:val="21"/>
          <w:highlight w:val="none"/>
        </w:rPr>
        <w:t>人少于 3 个的；</w:t>
      </w:r>
    </w:p>
    <w:p w14:paraId="3EEA081B">
      <w:pPr>
        <w:autoSpaceDE w:val="0"/>
        <w:autoSpaceDN w:val="0"/>
        <w:adjustRightInd w:val="0"/>
        <w:snapToGrid w:val="0"/>
        <w:spacing w:line="360" w:lineRule="auto"/>
        <w:ind w:firstLine="420" w:firstLineChars="200"/>
        <w:rPr>
          <w:rFonts w:ascii="宋体" w:hAnsi="宋体"/>
          <w:snapToGrid w:val="0"/>
          <w:color w:val="auto"/>
          <w:kern w:val="0"/>
          <w:szCs w:val="21"/>
          <w:highlight w:val="none"/>
        </w:rPr>
      </w:pPr>
      <w:r>
        <w:rPr>
          <w:rFonts w:ascii="宋体" w:hAnsi="宋体"/>
          <w:snapToGrid w:val="0"/>
          <w:color w:val="auto"/>
          <w:kern w:val="0"/>
          <w:szCs w:val="21"/>
          <w:highlight w:val="none"/>
        </w:rPr>
        <w:t>（2）经评标委员会评审后否决所有投标的；</w:t>
      </w:r>
    </w:p>
    <w:p w14:paraId="547986FA">
      <w:pPr>
        <w:autoSpaceDE w:val="0"/>
        <w:autoSpaceDN w:val="0"/>
        <w:adjustRightInd w:val="0"/>
        <w:snapToGrid w:val="0"/>
        <w:spacing w:line="360" w:lineRule="auto"/>
        <w:ind w:firstLine="420" w:firstLineChars="200"/>
        <w:rPr>
          <w:rFonts w:ascii="宋体" w:hAnsi="宋体"/>
          <w:snapToGrid w:val="0"/>
          <w:color w:val="auto"/>
          <w:kern w:val="0"/>
          <w:szCs w:val="21"/>
          <w:highlight w:val="none"/>
        </w:rPr>
      </w:pPr>
      <w:r>
        <w:rPr>
          <w:rFonts w:ascii="宋体" w:hAnsi="宋体"/>
          <w:snapToGrid w:val="0"/>
          <w:color w:val="auto"/>
          <w:kern w:val="0"/>
          <w:szCs w:val="21"/>
          <w:highlight w:val="none"/>
        </w:rPr>
        <w:t>（3）</w:t>
      </w:r>
      <w:r>
        <w:rPr>
          <w:rFonts w:hint="eastAsia" w:ascii="宋体" w:hAnsi="宋体"/>
          <w:snapToGrid w:val="0"/>
          <w:color w:val="auto"/>
          <w:kern w:val="0"/>
          <w:szCs w:val="21"/>
          <w:highlight w:val="none"/>
        </w:rPr>
        <w:t>法律法规规定的其他情形。</w:t>
      </w:r>
    </w:p>
    <w:p w14:paraId="00626811">
      <w:pPr>
        <w:pStyle w:val="5"/>
        <w:snapToGrid w:val="0"/>
        <w:spacing w:before="0" w:line="360" w:lineRule="auto"/>
        <w:rPr>
          <w:rFonts w:ascii="宋体" w:hAnsi="宋体" w:eastAsia="宋体" w:cs="宋体"/>
          <w:snapToGrid w:val="0"/>
          <w:color w:val="auto"/>
          <w:highlight w:val="none"/>
        </w:rPr>
      </w:pPr>
      <w:r>
        <w:rPr>
          <w:rFonts w:hint="eastAsia" w:ascii="宋体" w:hAnsi="宋体" w:eastAsia="宋体" w:cs="宋体"/>
          <w:snapToGrid w:val="0"/>
          <w:color w:val="auto"/>
          <w:highlight w:val="none"/>
        </w:rPr>
        <w:t>8.2  不再比选</w:t>
      </w:r>
      <w:bookmarkEnd w:id="154"/>
      <w:bookmarkEnd w:id="155"/>
      <w:bookmarkEnd w:id="156"/>
      <w:bookmarkEnd w:id="157"/>
      <w:bookmarkEnd w:id="158"/>
    </w:p>
    <w:bookmarkEnd w:id="61"/>
    <w:p w14:paraId="65648C1A">
      <w:pPr>
        <w:autoSpaceDE w:val="0"/>
        <w:autoSpaceDN w:val="0"/>
        <w:adjustRightInd w:val="0"/>
        <w:snapToGrid w:val="0"/>
        <w:spacing w:line="360" w:lineRule="auto"/>
        <w:ind w:firstLine="420"/>
        <w:rPr>
          <w:rFonts w:ascii="宋体" w:hAnsi="宋体" w:cs="宋体"/>
          <w:b/>
          <w:snapToGrid w:val="0"/>
          <w:color w:val="auto"/>
          <w:spacing w:val="-4"/>
          <w:szCs w:val="21"/>
          <w:highlight w:val="none"/>
        </w:rPr>
      </w:pPr>
      <w:bookmarkStart w:id="159" w:name="_Toc200513172"/>
      <w:bookmarkStart w:id="160" w:name="_Toc287620731"/>
      <w:bookmarkStart w:id="161" w:name="_Toc277082598"/>
      <w:bookmarkStart w:id="162" w:name="_Toc224103363"/>
      <w:bookmarkStart w:id="163" w:name="_Toc287607792"/>
      <w:r>
        <w:rPr>
          <w:rFonts w:hint="eastAsia" w:ascii="宋体" w:hAnsi="宋体"/>
          <w:snapToGrid w:val="0"/>
          <w:color w:val="auto"/>
          <w:kern w:val="0"/>
          <w:szCs w:val="21"/>
          <w:highlight w:val="none"/>
        </w:rPr>
        <w:t>重新招标的竞选人仍然少于三个的，按照招标竞选法律法规规定的程序开标和评标。重新招标经评审有有效竞选人的，应当依法确定中标候选人；无有效竞选人的，可以不再进行招标，但是按照国家有关规定需要履行审批、核准、备案手续的依法必须进行招标的项目，应当报原项目投资主管部门审批、核准、备案</w:t>
      </w:r>
      <w:r>
        <w:rPr>
          <w:rFonts w:ascii="宋体" w:hAnsi="宋体"/>
          <w:snapToGrid w:val="0"/>
          <w:color w:val="auto"/>
          <w:kern w:val="0"/>
          <w:szCs w:val="21"/>
          <w:highlight w:val="none"/>
        </w:rPr>
        <w:t>。</w:t>
      </w:r>
    </w:p>
    <w:p w14:paraId="2464D0E1">
      <w:pPr>
        <w:pStyle w:val="4"/>
        <w:rPr>
          <w:rFonts w:ascii="宋体" w:hAnsi="宋体" w:eastAsia="宋体" w:cs="宋体"/>
          <w:snapToGrid w:val="0"/>
          <w:color w:val="auto"/>
          <w:highlight w:val="none"/>
        </w:rPr>
      </w:pPr>
      <w:bookmarkStart w:id="164" w:name="_Toc12317"/>
      <w:r>
        <w:rPr>
          <w:rFonts w:hint="eastAsia" w:ascii="宋体" w:hAnsi="宋体" w:eastAsia="宋体" w:cs="宋体"/>
          <w:snapToGrid w:val="0"/>
          <w:color w:val="auto"/>
          <w:highlight w:val="none"/>
        </w:rPr>
        <w:t>9. 纪律和监督</w:t>
      </w:r>
      <w:bookmarkEnd w:id="159"/>
      <w:bookmarkEnd w:id="160"/>
      <w:bookmarkEnd w:id="161"/>
      <w:bookmarkEnd w:id="162"/>
      <w:bookmarkEnd w:id="163"/>
      <w:bookmarkEnd w:id="164"/>
    </w:p>
    <w:p w14:paraId="04C1DFAF">
      <w:pPr>
        <w:pStyle w:val="5"/>
        <w:snapToGrid w:val="0"/>
        <w:spacing w:before="0" w:line="360" w:lineRule="auto"/>
        <w:rPr>
          <w:rFonts w:ascii="宋体" w:hAnsi="宋体" w:eastAsia="宋体" w:cs="宋体"/>
          <w:snapToGrid w:val="0"/>
          <w:color w:val="auto"/>
          <w:highlight w:val="none"/>
        </w:rPr>
      </w:pPr>
      <w:bookmarkStart w:id="165" w:name="_Toc224103364"/>
      <w:bookmarkStart w:id="166" w:name="_Toc200513173"/>
      <w:bookmarkStart w:id="167" w:name="_Toc287620732"/>
      <w:bookmarkStart w:id="168" w:name="_Toc287607793"/>
      <w:bookmarkStart w:id="169" w:name="_Toc277082599"/>
      <w:r>
        <w:rPr>
          <w:rFonts w:hint="eastAsia" w:ascii="宋体" w:hAnsi="宋体" w:eastAsia="宋体" w:cs="宋体"/>
          <w:snapToGrid w:val="0"/>
          <w:color w:val="auto"/>
          <w:highlight w:val="none"/>
        </w:rPr>
        <w:t>9.1  对比选人的纪律要求</w:t>
      </w:r>
      <w:bookmarkEnd w:id="165"/>
      <w:bookmarkEnd w:id="166"/>
      <w:bookmarkEnd w:id="167"/>
      <w:bookmarkEnd w:id="168"/>
      <w:bookmarkEnd w:id="169"/>
    </w:p>
    <w:p w14:paraId="29BAEEEB">
      <w:pPr>
        <w:autoSpaceDE w:val="0"/>
        <w:autoSpaceDN w:val="0"/>
        <w:adjustRightInd w:val="0"/>
        <w:snapToGrid w:val="0"/>
        <w:spacing w:line="360" w:lineRule="auto"/>
        <w:ind w:firstLine="420"/>
        <w:jc w:val="left"/>
        <w:rPr>
          <w:rFonts w:ascii="宋体" w:hAnsi="宋体" w:cs="宋体"/>
          <w:color w:val="auto"/>
          <w:highlight w:val="none"/>
        </w:rPr>
      </w:pPr>
      <w:r>
        <w:rPr>
          <w:rFonts w:hint="eastAsia" w:ascii="宋体" w:hAnsi="宋体" w:cs="宋体"/>
          <w:snapToGrid w:val="0"/>
          <w:color w:val="auto"/>
          <w:kern w:val="0"/>
          <w:szCs w:val="21"/>
          <w:highlight w:val="none"/>
        </w:rPr>
        <w:t>比选人不得泄漏比选投标活动中应当保密的情况和资料，不得与竞选人串通损害国家利 益、社会公共利益或者他人合法权益，</w:t>
      </w:r>
      <w:r>
        <w:rPr>
          <w:rFonts w:hint="eastAsia" w:ascii="宋体" w:hAnsi="宋体" w:cs="宋体"/>
          <w:color w:val="auto"/>
          <w:highlight w:val="none"/>
        </w:rPr>
        <w:t>禁止比选人与竞选人串通投标。</w:t>
      </w:r>
    </w:p>
    <w:p w14:paraId="2907CA29">
      <w:pPr>
        <w:autoSpaceDE w:val="0"/>
        <w:autoSpaceDN w:val="0"/>
        <w:adjustRightInd w:val="0"/>
        <w:snapToGrid w:val="0"/>
        <w:spacing w:line="360" w:lineRule="auto"/>
        <w:ind w:firstLine="420"/>
        <w:jc w:val="left"/>
        <w:rPr>
          <w:rFonts w:ascii="宋体" w:hAnsi="宋体" w:cs="宋体"/>
          <w:color w:val="auto"/>
          <w:highlight w:val="none"/>
        </w:rPr>
      </w:pPr>
      <w:r>
        <w:rPr>
          <w:rFonts w:hint="eastAsia" w:ascii="宋体" w:hAnsi="宋体" w:cs="宋体"/>
          <w:color w:val="auto"/>
          <w:highlight w:val="none"/>
        </w:rPr>
        <w:t>有下列情形之一的，属于比选人与竞选人串通投标：</w:t>
      </w:r>
    </w:p>
    <w:p w14:paraId="3A83A811">
      <w:pPr>
        <w:autoSpaceDE w:val="0"/>
        <w:autoSpaceDN w:val="0"/>
        <w:adjustRightInd w:val="0"/>
        <w:snapToGrid w:val="0"/>
        <w:spacing w:line="360" w:lineRule="auto"/>
        <w:ind w:firstLine="420"/>
        <w:jc w:val="left"/>
        <w:rPr>
          <w:rFonts w:ascii="宋体" w:hAnsi="宋体" w:cs="宋体"/>
          <w:color w:val="auto"/>
          <w:highlight w:val="none"/>
        </w:rPr>
      </w:pPr>
      <w:r>
        <w:rPr>
          <w:rFonts w:hint="eastAsia" w:ascii="宋体" w:hAnsi="宋体" w:cs="宋体"/>
          <w:color w:val="auto"/>
          <w:highlight w:val="none"/>
        </w:rPr>
        <w:t>（1）比选人在开标前开启投标文件并将有关信息泄露给其他竞选人;</w:t>
      </w:r>
    </w:p>
    <w:p w14:paraId="246ADC7F">
      <w:pPr>
        <w:autoSpaceDE w:val="0"/>
        <w:autoSpaceDN w:val="0"/>
        <w:adjustRightInd w:val="0"/>
        <w:snapToGrid w:val="0"/>
        <w:spacing w:line="360" w:lineRule="auto"/>
        <w:ind w:firstLine="420"/>
        <w:jc w:val="left"/>
        <w:rPr>
          <w:rFonts w:ascii="宋体" w:hAnsi="宋体" w:cs="宋体"/>
          <w:color w:val="auto"/>
          <w:highlight w:val="none"/>
        </w:rPr>
      </w:pPr>
      <w:r>
        <w:rPr>
          <w:rFonts w:hint="eastAsia" w:ascii="宋体" w:hAnsi="宋体" w:cs="宋体"/>
          <w:color w:val="auto"/>
          <w:highlight w:val="none"/>
        </w:rPr>
        <w:t>（2）比选人直接或者间接向竞选人泄露标底、</w:t>
      </w:r>
      <w:r>
        <w:rPr>
          <w:rFonts w:hint="eastAsia" w:ascii="宋体" w:hAnsi="宋体" w:cs="宋体"/>
          <w:color w:val="auto"/>
          <w:kern w:val="0"/>
          <w:szCs w:val="21"/>
          <w:highlight w:val="none"/>
        </w:rPr>
        <w:t>评审人员</w:t>
      </w:r>
      <w:r>
        <w:rPr>
          <w:rFonts w:hint="eastAsia" w:ascii="宋体" w:hAnsi="宋体" w:cs="宋体"/>
          <w:color w:val="auto"/>
          <w:highlight w:val="none"/>
        </w:rPr>
        <w:t>等信息；</w:t>
      </w:r>
    </w:p>
    <w:p w14:paraId="20F957EF">
      <w:pPr>
        <w:autoSpaceDE w:val="0"/>
        <w:autoSpaceDN w:val="0"/>
        <w:adjustRightInd w:val="0"/>
        <w:snapToGrid w:val="0"/>
        <w:spacing w:line="360" w:lineRule="auto"/>
        <w:ind w:firstLine="420"/>
        <w:jc w:val="left"/>
        <w:rPr>
          <w:rFonts w:ascii="宋体" w:hAnsi="宋体" w:cs="宋体"/>
          <w:color w:val="auto"/>
          <w:highlight w:val="none"/>
        </w:rPr>
      </w:pPr>
      <w:r>
        <w:rPr>
          <w:rFonts w:hint="eastAsia" w:ascii="宋体" w:hAnsi="宋体" w:cs="宋体"/>
          <w:color w:val="auto"/>
          <w:highlight w:val="none"/>
        </w:rPr>
        <w:t>（3）比选人明示或者暗示竞选人压低或者抬高投标报价；</w:t>
      </w:r>
    </w:p>
    <w:p w14:paraId="36A4B016">
      <w:pPr>
        <w:autoSpaceDE w:val="0"/>
        <w:autoSpaceDN w:val="0"/>
        <w:adjustRightInd w:val="0"/>
        <w:snapToGrid w:val="0"/>
        <w:spacing w:line="360" w:lineRule="auto"/>
        <w:ind w:firstLine="420"/>
        <w:jc w:val="left"/>
        <w:rPr>
          <w:rFonts w:ascii="宋体" w:hAnsi="宋体" w:cs="宋体"/>
          <w:color w:val="auto"/>
          <w:highlight w:val="none"/>
        </w:rPr>
      </w:pPr>
      <w:r>
        <w:rPr>
          <w:rFonts w:hint="eastAsia" w:ascii="宋体" w:hAnsi="宋体" w:cs="宋体"/>
          <w:color w:val="auto"/>
          <w:highlight w:val="none"/>
        </w:rPr>
        <w:t>（4）比选人授意竞选人撤换、修改投标文件；</w:t>
      </w:r>
    </w:p>
    <w:p w14:paraId="0ACB751D">
      <w:pPr>
        <w:autoSpaceDE w:val="0"/>
        <w:autoSpaceDN w:val="0"/>
        <w:adjustRightInd w:val="0"/>
        <w:snapToGrid w:val="0"/>
        <w:spacing w:line="360" w:lineRule="auto"/>
        <w:ind w:firstLine="420"/>
        <w:jc w:val="left"/>
        <w:rPr>
          <w:rFonts w:ascii="宋体" w:hAnsi="宋体" w:cs="宋体"/>
          <w:color w:val="auto"/>
          <w:highlight w:val="none"/>
        </w:rPr>
      </w:pPr>
      <w:r>
        <w:rPr>
          <w:rFonts w:hint="eastAsia" w:ascii="宋体" w:hAnsi="宋体" w:cs="宋体"/>
          <w:color w:val="auto"/>
          <w:highlight w:val="none"/>
        </w:rPr>
        <w:t>（5）比选人明示或者暗示竞选人为特定竞选人中标提供方便；</w:t>
      </w:r>
    </w:p>
    <w:p w14:paraId="12331312">
      <w:pPr>
        <w:autoSpaceDE w:val="0"/>
        <w:autoSpaceDN w:val="0"/>
        <w:adjustRightInd w:val="0"/>
        <w:snapToGrid w:val="0"/>
        <w:spacing w:line="360" w:lineRule="auto"/>
        <w:ind w:firstLine="420"/>
        <w:jc w:val="left"/>
        <w:rPr>
          <w:rFonts w:ascii="宋体" w:hAnsi="宋体" w:cs="宋体"/>
          <w:snapToGrid w:val="0"/>
          <w:color w:val="auto"/>
          <w:kern w:val="0"/>
          <w:szCs w:val="21"/>
          <w:highlight w:val="none"/>
        </w:rPr>
      </w:pPr>
      <w:r>
        <w:rPr>
          <w:rFonts w:hint="eastAsia" w:ascii="宋体" w:hAnsi="宋体" w:cs="宋体"/>
          <w:color w:val="auto"/>
          <w:highlight w:val="none"/>
        </w:rPr>
        <w:t>（6）比选人与竞选人为谋求特定竞选人中标而采取的其他串通行为。</w:t>
      </w:r>
    </w:p>
    <w:p w14:paraId="41E0EAB3">
      <w:pPr>
        <w:pStyle w:val="5"/>
        <w:snapToGrid w:val="0"/>
        <w:spacing w:before="0" w:line="360" w:lineRule="auto"/>
        <w:rPr>
          <w:rFonts w:ascii="宋体" w:hAnsi="宋体" w:eastAsia="宋体" w:cs="宋体"/>
          <w:snapToGrid w:val="0"/>
          <w:color w:val="auto"/>
          <w:highlight w:val="none"/>
        </w:rPr>
      </w:pPr>
      <w:bookmarkStart w:id="170" w:name="_Toc287607794"/>
      <w:bookmarkStart w:id="171" w:name="_Toc200513174"/>
      <w:bookmarkStart w:id="172" w:name="_Toc277082600"/>
      <w:bookmarkStart w:id="173" w:name="_Toc287620733"/>
      <w:bookmarkStart w:id="174" w:name="_Toc224103365"/>
      <w:r>
        <w:rPr>
          <w:rFonts w:hint="eastAsia" w:ascii="宋体" w:hAnsi="宋体" w:eastAsia="宋体" w:cs="宋体"/>
          <w:snapToGrid w:val="0"/>
          <w:color w:val="auto"/>
          <w:highlight w:val="none"/>
        </w:rPr>
        <w:t>9.2  对竞选人的纪律要求</w:t>
      </w:r>
      <w:bookmarkEnd w:id="170"/>
      <w:bookmarkEnd w:id="171"/>
      <w:bookmarkEnd w:id="172"/>
      <w:bookmarkEnd w:id="173"/>
      <w:bookmarkEnd w:id="174"/>
    </w:p>
    <w:p w14:paraId="2124E324">
      <w:pPr>
        <w:autoSpaceDE w:val="0"/>
        <w:autoSpaceDN w:val="0"/>
        <w:adjustRightInd w:val="0"/>
        <w:snapToGrid w:val="0"/>
        <w:spacing w:line="360" w:lineRule="auto"/>
        <w:ind w:firstLine="420"/>
        <w:rPr>
          <w:rFonts w:ascii="宋体" w:hAnsi="宋体" w:cs="宋体"/>
          <w:snapToGrid w:val="0"/>
          <w:color w:val="auto"/>
          <w:kern w:val="0"/>
          <w:szCs w:val="21"/>
          <w:highlight w:val="none"/>
        </w:rPr>
      </w:pPr>
      <w:r>
        <w:rPr>
          <w:rFonts w:hint="eastAsia" w:ascii="宋体" w:hAnsi="宋体" w:cs="宋体"/>
          <w:snapToGrid w:val="0"/>
          <w:color w:val="auto"/>
          <w:kern w:val="0"/>
          <w:szCs w:val="21"/>
          <w:highlight w:val="none"/>
        </w:rPr>
        <w:t>竞选人不得相互串通投标或者与比选人串通投标，不得向比选人或者</w:t>
      </w:r>
      <w:r>
        <w:rPr>
          <w:rFonts w:hint="eastAsia" w:ascii="宋体" w:hAnsi="宋体" w:cs="宋体"/>
          <w:color w:val="auto"/>
          <w:kern w:val="0"/>
          <w:szCs w:val="21"/>
          <w:highlight w:val="none"/>
        </w:rPr>
        <w:t>评审人员</w:t>
      </w:r>
      <w:r>
        <w:rPr>
          <w:rFonts w:hint="eastAsia" w:ascii="宋体" w:hAnsi="宋体" w:cs="宋体"/>
          <w:snapToGrid w:val="0"/>
          <w:color w:val="auto"/>
          <w:kern w:val="0"/>
          <w:szCs w:val="21"/>
          <w:highlight w:val="none"/>
        </w:rPr>
        <w:t>行贿谋取中标，不得以他人名义投标或者以其他方式弄虚作假骗取中标；竞选人不得以任何方式干扰、影响评标工作。</w:t>
      </w:r>
    </w:p>
    <w:p w14:paraId="4B0DB39E">
      <w:pPr>
        <w:autoSpaceDE w:val="0"/>
        <w:autoSpaceDN w:val="0"/>
        <w:adjustRightInd w:val="0"/>
        <w:snapToGrid w:val="0"/>
        <w:spacing w:line="360" w:lineRule="auto"/>
        <w:ind w:firstLine="420"/>
        <w:rPr>
          <w:rFonts w:ascii="宋体" w:hAnsi="宋体" w:cs="宋体"/>
          <w:color w:val="auto"/>
          <w:highlight w:val="none"/>
        </w:rPr>
      </w:pPr>
      <w:r>
        <w:rPr>
          <w:rFonts w:hint="eastAsia" w:ascii="宋体" w:hAnsi="宋体" w:cs="宋体"/>
          <w:color w:val="auto"/>
          <w:highlight w:val="none"/>
        </w:rPr>
        <w:t>有下列情形之一的，属于竞选人相互串通投标：</w:t>
      </w:r>
    </w:p>
    <w:p w14:paraId="63005F17">
      <w:pPr>
        <w:autoSpaceDE w:val="0"/>
        <w:autoSpaceDN w:val="0"/>
        <w:adjustRightInd w:val="0"/>
        <w:snapToGrid w:val="0"/>
        <w:spacing w:line="360" w:lineRule="auto"/>
        <w:ind w:firstLine="420"/>
        <w:rPr>
          <w:rFonts w:ascii="宋体" w:hAnsi="宋体" w:cs="宋体"/>
          <w:color w:val="auto"/>
          <w:highlight w:val="none"/>
        </w:rPr>
      </w:pPr>
      <w:r>
        <w:rPr>
          <w:rFonts w:hint="eastAsia" w:ascii="宋体" w:hAnsi="宋体" w:cs="宋体"/>
          <w:color w:val="auto"/>
          <w:highlight w:val="none"/>
        </w:rPr>
        <w:t>（1）竞选人之间协商投标报价等投标文件的实质性内容；</w:t>
      </w:r>
    </w:p>
    <w:p w14:paraId="6C412C31">
      <w:pPr>
        <w:autoSpaceDE w:val="0"/>
        <w:autoSpaceDN w:val="0"/>
        <w:adjustRightInd w:val="0"/>
        <w:snapToGrid w:val="0"/>
        <w:spacing w:line="360" w:lineRule="auto"/>
        <w:ind w:firstLine="420"/>
        <w:rPr>
          <w:rFonts w:ascii="宋体" w:hAnsi="宋体" w:cs="宋体"/>
          <w:color w:val="auto"/>
          <w:highlight w:val="none"/>
        </w:rPr>
      </w:pPr>
      <w:r>
        <w:rPr>
          <w:rFonts w:hint="eastAsia" w:ascii="宋体" w:hAnsi="宋体" w:cs="宋体"/>
          <w:color w:val="auto"/>
          <w:highlight w:val="none"/>
        </w:rPr>
        <w:t>（2）竞选人之间约定中标人；</w:t>
      </w:r>
    </w:p>
    <w:p w14:paraId="3A634CC1">
      <w:pPr>
        <w:autoSpaceDE w:val="0"/>
        <w:autoSpaceDN w:val="0"/>
        <w:adjustRightInd w:val="0"/>
        <w:snapToGrid w:val="0"/>
        <w:spacing w:line="360" w:lineRule="auto"/>
        <w:ind w:firstLine="420"/>
        <w:rPr>
          <w:rFonts w:ascii="宋体" w:hAnsi="宋体" w:cs="宋体"/>
          <w:color w:val="auto"/>
          <w:highlight w:val="none"/>
        </w:rPr>
      </w:pPr>
      <w:r>
        <w:rPr>
          <w:rFonts w:hint="eastAsia" w:ascii="宋体" w:hAnsi="宋体" w:cs="宋体"/>
          <w:color w:val="auto"/>
          <w:highlight w:val="none"/>
        </w:rPr>
        <w:t>（3）竞选人之间约定部分竞选人放弃投标或者中标；</w:t>
      </w:r>
    </w:p>
    <w:p w14:paraId="6CC397D2">
      <w:pPr>
        <w:autoSpaceDE w:val="0"/>
        <w:autoSpaceDN w:val="0"/>
        <w:adjustRightInd w:val="0"/>
        <w:snapToGrid w:val="0"/>
        <w:spacing w:line="360" w:lineRule="auto"/>
        <w:ind w:firstLine="420"/>
        <w:rPr>
          <w:rFonts w:ascii="宋体" w:hAnsi="宋体" w:cs="宋体"/>
          <w:color w:val="auto"/>
          <w:highlight w:val="none"/>
        </w:rPr>
      </w:pPr>
      <w:r>
        <w:rPr>
          <w:rFonts w:hint="eastAsia" w:ascii="宋体" w:hAnsi="宋体" w:cs="宋体"/>
          <w:color w:val="auto"/>
          <w:highlight w:val="none"/>
        </w:rPr>
        <w:t>（4）属于同一集团、协会、商会等组织成员的竞选人按照该组织要求协同投标；</w:t>
      </w:r>
    </w:p>
    <w:p w14:paraId="5D5C23F8">
      <w:pPr>
        <w:autoSpaceDE w:val="0"/>
        <w:autoSpaceDN w:val="0"/>
        <w:adjustRightInd w:val="0"/>
        <w:snapToGrid w:val="0"/>
        <w:spacing w:line="360" w:lineRule="auto"/>
        <w:ind w:firstLine="420"/>
        <w:rPr>
          <w:rFonts w:ascii="宋体" w:hAnsi="宋体" w:cs="宋体"/>
          <w:color w:val="auto"/>
          <w:highlight w:val="none"/>
        </w:rPr>
      </w:pPr>
      <w:r>
        <w:rPr>
          <w:rFonts w:hint="eastAsia" w:ascii="宋体" w:hAnsi="宋体" w:cs="宋体"/>
          <w:color w:val="auto"/>
          <w:highlight w:val="none"/>
        </w:rPr>
        <w:t>（5）竞选人之间为谋取中标或者排斥特定竞选人而采取的其他联合行动。</w:t>
      </w:r>
    </w:p>
    <w:p w14:paraId="3A109F10">
      <w:pPr>
        <w:autoSpaceDE w:val="0"/>
        <w:autoSpaceDN w:val="0"/>
        <w:adjustRightInd w:val="0"/>
        <w:snapToGrid w:val="0"/>
        <w:spacing w:line="360" w:lineRule="auto"/>
        <w:ind w:firstLine="420"/>
        <w:rPr>
          <w:rFonts w:ascii="宋体" w:hAnsi="宋体" w:cs="宋体"/>
          <w:color w:val="auto"/>
          <w:highlight w:val="none"/>
        </w:rPr>
      </w:pPr>
      <w:r>
        <w:rPr>
          <w:rFonts w:hint="eastAsia" w:ascii="宋体" w:hAnsi="宋体" w:cs="宋体"/>
          <w:color w:val="auto"/>
          <w:highlight w:val="none"/>
        </w:rPr>
        <w:t xml:space="preserve"> 有下列情形之一的，视为竞选人相互串通投标：</w:t>
      </w:r>
    </w:p>
    <w:p w14:paraId="07209AAC">
      <w:pPr>
        <w:autoSpaceDE w:val="0"/>
        <w:autoSpaceDN w:val="0"/>
        <w:adjustRightInd w:val="0"/>
        <w:snapToGrid w:val="0"/>
        <w:spacing w:line="360" w:lineRule="auto"/>
        <w:ind w:firstLine="420"/>
        <w:rPr>
          <w:rFonts w:ascii="宋体" w:hAnsi="宋体" w:cs="宋体"/>
          <w:color w:val="auto"/>
          <w:highlight w:val="none"/>
        </w:rPr>
      </w:pPr>
      <w:r>
        <w:rPr>
          <w:rFonts w:hint="eastAsia" w:ascii="宋体" w:hAnsi="宋体" w:cs="宋体"/>
          <w:color w:val="auto"/>
          <w:highlight w:val="none"/>
        </w:rPr>
        <w:t>（1）不同竞选人的投标文件由同一单位或者个人编制；</w:t>
      </w:r>
    </w:p>
    <w:p w14:paraId="029588F3">
      <w:pPr>
        <w:autoSpaceDE w:val="0"/>
        <w:autoSpaceDN w:val="0"/>
        <w:adjustRightInd w:val="0"/>
        <w:snapToGrid w:val="0"/>
        <w:spacing w:line="360" w:lineRule="auto"/>
        <w:ind w:firstLine="420"/>
        <w:rPr>
          <w:rFonts w:ascii="宋体" w:hAnsi="宋体" w:cs="宋体"/>
          <w:color w:val="auto"/>
          <w:highlight w:val="none"/>
        </w:rPr>
      </w:pPr>
      <w:r>
        <w:rPr>
          <w:rFonts w:hint="eastAsia" w:ascii="宋体" w:hAnsi="宋体" w:cs="宋体"/>
          <w:color w:val="auto"/>
          <w:highlight w:val="none"/>
        </w:rPr>
        <w:t>（2）不同竞选人委托同一单位或者个人办理投标事宜；</w:t>
      </w:r>
    </w:p>
    <w:p w14:paraId="6A441E9E">
      <w:pPr>
        <w:autoSpaceDE w:val="0"/>
        <w:autoSpaceDN w:val="0"/>
        <w:adjustRightInd w:val="0"/>
        <w:snapToGrid w:val="0"/>
        <w:spacing w:line="360" w:lineRule="auto"/>
        <w:ind w:firstLine="420"/>
        <w:rPr>
          <w:rFonts w:ascii="宋体" w:hAnsi="宋体" w:cs="宋体"/>
          <w:color w:val="auto"/>
          <w:highlight w:val="none"/>
        </w:rPr>
      </w:pPr>
      <w:r>
        <w:rPr>
          <w:rFonts w:hint="eastAsia" w:ascii="宋体" w:hAnsi="宋体" w:cs="宋体"/>
          <w:color w:val="auto"/>
          <w:highlight w:val="none"/>
        </w:rPr>
        <w:t>（3）不同竞选人的投标文件载明的项目管理成员为同一人；</w:t>
      </w:r>
    </w:p>
    <w:p w14:paraId="1B015429">
      <w:pPr>
        <w:autoSpaceDE w:val="0"/>
        <w:autoSpaceDN w:val="0"/>
        <w:adjustRightInd w:val="0"/>
        <w:snapToGrid w:val="0"/>
        <w:spacing w:line="360" w:lineRule="auto"/>
        <w:ind w:firstLine="420"/>
        <w:rPr>
          <w:rFonts w:ascii="宋体" w:hAnsi="宋体" w:cs="宋体"/>
          <w:color w:val="auto"/>
          <w:highlight w:val="none"/>
        </w:rPr>
      </w:pPr>
      <w:r>
        <w:rPr>
          <w:rFonts w:hint="eastAsia" w:ascii="宋体" w:hAnsi="宋体" w:cs="宋体"/>
          <w:color w:val="auto"/>
          <w:highlight w:val="none"/>
        </w:rPr>
        <w:t>（4）不同竞选人的投标文件异常一致或者投标报价呈规律性差异；</w:t>
      </w:r>
    </w:p>
    <w:p w14:paraId="28F7D1C2">
      <w:pPr>
        <w:autoSpaceDE w:val="0"/>
        <w:autoSpaceDN w:val="0"/>
        <w:adjustRightInd w:val="0"/>
        <w:snapToGrid w:val="0"/>
        <w:spacing w:line="360" w:lineRule="auto"/>
        <w:ind w:firstLine="420"/>
        <w:rPr>
          <w:rFonts w:ascii="宋体" w:hAnsi="宋体" w:cs="宋体"/>
          <w:color w:val="auto"/>
          <w:highlight w:val="none"/>
        </w:rPr>
      </w:pPr>
      <w:r>
        <w:rPr>
          <w:rFonts w:hint="eastAsia" w:ascii="宋体" w:hAnsi="宋体" w:cs="宋体"/>
          <w:color w:val="auto"/>
          <w:highlight w:val="none"/>
        </w:rPr>
        <w:t>（5）不同竞选人的投标文件相互混装；</w:t>
      </w:r>
    </w:p>
    <w:p w14:paraId="173D4B94">
      <w:pPr>
        <w:autoSpaceDE w:val="0"/>
        <w:autoSpaceDN w:val="0"/>
        <w:adjustRightInd w:val="0"/>
        <w:snapToGrid w:val="0"/>
        <w:spacing w:line="360" w:lineRule="auto"/>
        <w:ind w:firstLine="315" w:firstLineChars="150"/>
        <w:rPr>
          <w:rFonts w:ascii="宋体" w:hAnsi="宋体" w:cs="宋体"/>
          <w:color w:val="auto"/>
          <w:highlight w:val="none"/>
        </w:rPr>
      </w:pPr>
      <w:r>
        <w:rPr>
          <w:rFonts w:hint="eastAsia" w:ascii="宋体" w:hAnsi="宋体" w:cs="宋体"/>
          <w:color w:val="auto"/>
          <w:highlight w:val="none"/>
        </w:rPr>
        <w:t>使用通过受让或者租借等方式获取的资格、资质证书投标的，属于以他人名义投标。</w:t>
      </w:r>
    </w:p>
    <w:p w14:paraId="588E3018">
      <w:pPr>
        <w:autoSpaceDE w:val="0"/>
        <w:autoSpaceDN w:val="0"/>
        <w:adjustRightInd w:val="0"/>
        <w:snapToGrid w:val="0"/>
        <w:spacing w:line="360" w:lineRule="auto"/>
        <w:ind w:firstLine="315" w:firstLineChars="150"/>
        <w:rPr>
          <w:rFonts w:ascii="宋体" w:hAnsi="宋体" w:cs="宋体"/>
          <w:color w:val="auto"/>
          <w:highlight w:val="none"/>
        </w:rPr>
      </w:pPr>
      <w:r>
        <w:rPr>
          <w:rFonts w:hint="eastAsia" w:ascii="宋体" w:hAnsi="宋体" w:cs="宋体"/>
          <w:color w:val="auto"/>
          <w:highlight w:val="none"/>
        </w:rPr>
        <w:t>竞选人有下列情形之一的，属于以其他方式弄虚作假的行为：</w:t>
      </w:r>
    </w:p>
    <w:p w14:paraId="10BB5715">
      <w:pPr>
        <w:autoSpaceDE w:val="0"/>
        <w:autoSpaceDN w:val="0"/>
        <w:adjustRightInd w:val="0"/>
        <w:snapToGrid w:val="0"/>
        <w:spacing w:line="360" w:lineRule="auto"/>
        <w:ind w:firstLine="315" w:firstLineChars="150"/>
        <w:rPr>
          <w:rFonts w:ascii="宋体" w:hAnsi="宋体" w:cs="宋体"/>
          <w:color w:val="auto"/>
          <w:highlight w:val="none"/>
        </w:rPr>
      </w:pPr>
      <w:r>
        <w:rPr>
          <w:rFonts w:hint="eastAsia" w:ascii="宋体" w:hAnsi="宋体" w:cs="宋体"/>
          <w:color w:val="auto"/>
          <w:highlight w:val="none"/>
        </w:rPr>
        <w:t> （一）使用伪造、变造的许可证件；</w:t>
      </w:r>
    </w:p>
    <w:p w14:paraId="68433E5D">
      <w:pPr>
        <w:autoSpaceDE w:val="0"/>
        <w:autoSpaceDN w:val="0"/>
        <w:adjustRightInd w:val="0"/>
        <w:snapToGrid w:val="0"/>
        <w:spacing w:line="360" w:lineRule="auto"/>
        <w:ind w:firstLine="315" w:firstLineChars="150"/>
        <w:rPr>
          <w:rFonts w:ascii="宋体" w:hAnsi="宋体" w:cs="宋体"/>
          <w:color w:val="auto"/>
          <w:highlight w:val="none"/>
        </w:rPr>
      </w:pPr>
      <w:r>
        <w:rPr>
          <w:rFonts w:hint="eastAsia" w:ascii="宋体" w:hAnsi="宋体" w:cs="宋体"/>
          <w:color w:val="auto"/>
          <w:highlight w:val="none"/>
        </w:rPr>
        <w:t> （二）提供虚假的财务状况或者业绩；</w:t>
      </w:r>
    </w:p>
    <w:p w14:paraId="665C1053">
      <w:pPr>
        <w:autoSpaceDE w:val="0"/>
        <w:autoSpaceDN w:val="0"/>
        <w:adjustRightInd w:val="0"/>
        <w:snapToGrid w:val="0"/>
        <w:spacing w:line="360" w:lineRule="auto"/>
        <w:ind w:firstLine="315" w:firstLineChars="150"/>
        <w:rPr>
          <w:rFonts w:ascii="宋体" w:hAnsi="宋体" w:cs="宋体"/>
          <w:color w:val="auto"/>
          <w:highlight w:val="none"/>
        </w:rPr>
      </w:pPr>
      <w:r>
        <w:rPr>
          <w:rFonts w:hint="eastAsia" w:ascii="宋体" w:hAnsi="宋体" w:cs="宋体"/>
          <w:color w:val="auto"/>
          <w:highlight w:val="none"/>
        </w:rPr>
        <w:t> （三）提供虚假的项目负责人或者主要技术人员简历、劳动关系证明；</w:t>
      </w:r>
    </w:p>
    <w:p w14:paraId="52F44A27">
      <w:pPr>
        <w:autoSpaceDE w:val="0"/>
        <w:autoSpaceDN w:val="0"/>
        <w:adjustRightInd w:val="0"/>
        <w:snapToGrid w:val="0"/>
        <w:spacing w:line="360" w:lineRule="auto"/>
        <w:ind w:firstLine="315" w:firstLineChars="150"/>
        <w:rPr>
          <w:rFonts w:ascii="宋体" w:hAnsi="宋体" w:cs="宋体"/>
          <w:color w:val="auto"/>
          <w:highlight w:val="none"/>
        </w:rPr>
      </w:pPr>
      <w:r>
        <w:rPr>
          <w:rFonts w:hint="eastAsia" w:ascii="宋体" w:hAnsi="宋体" w:cs="宋体"/>
          <w:color w:val="auto"/>
          <w:highlight w:val="none"/>
        </w:rPr>
        <w:t> （四）提供虚假的信用状况；</w:t>
      </w:r>
    </w:p>
    <w:p w14:paraId="6A5E41B9">
      <w:pPr>
        <w:autoSpaceDE w:val="0"/>
        <w:autoSpaceDN w:val="0"/>
        <w:adjustRightInd w:val="0"/>
        <w:snapToGrid w:val="0"/>
        <w:spacing w:line="360" w:lineRule="auto"/>
        <w:ind w:firstLine="315" w:firstLineChars="150"/>
        <w:rPr>
          <w:rFonts w:ascii="宋体" w:hAnsi="宋体" w:cs="宋体"/>
          <w:snapToGrid w:val="0"/>
          <w:color w:val="auto"/>
          <w:kern w:val="0"/>
          <w:szCs w:val="21"/>
          <w:highlight w:val="none"/>
        </w:rPr>
      </w:pPr>
      <w:r>
        <w:rPr>
          <w:rFonts w:hint="eastAsia" w:ascii="宋体" w:hAnsi="宋体" w:cs="宋体"/>
          <w:color w:val="auto"/>
          <w:highlight w:val="none"/>
        </w:rPr>
        <w:t> （五）其他弄虚作假的行为。</w:t>
      </w:r>
    </w:p>
    <w:p w14:paraId="11CE5B63">
      <w:pPr>
        <w:pStyle w:val="5"/>
        <w:snapToGrid w:val="0"/>
        <w:spacing w:before="0" w:line="360" w:lineRule="auto"/>
        <w:rPr>
          <w:rFonts w:ascii="宋体" w:hAnsi="宋体" w:eastAsia="宋体" w:cs="宋体"/>
          <w:snapToGrid w:val="0"/>
          <w:color w:val="auto"/>
          <w:highlight w:val="none"/>
        </w:rPr>
      </w:pPr>
      <w:bookmarkStart w:id="175" w:name="_Toc287620734"/>
      <w:bookmarkStart w:id="176" w:name="_Toc200513175"/>
      <w:bookmarkStart w:id="177" w:name="_Toc224103366"/>
      <w:bookmarkStart w:id="178" w:name="_Toc287607795"/>
      <w:bookmarkStart w:id="179" w:name="_Toc277082601"/>
      <w:r>
        <w:rPr>
          <w:rFonts w:hint="eastAsia" w:ascii="宋体" w:hAnsi="宋体" w:eastAsia="宋体" w:cs="宋体"/>
          <w:snapToGrid w:val="0"/>
          <w:color w:val="auto"/>
          <w:highlight w:val="none"/>
        </w:rPr>
        <w:t>9.3  对</w:t>
      </w:r>
      <w:r>
        <w:rPr>
          <w:rFonts w:hint="eastAsia" w:ascii="宋体" w:hAnsi="宋体" w:eastAsia="宋体" w:cs="宋体"/>
          <w:color w:val="auto"/>
          <w:szCs w:val="21"/>
          <w:highlight w:val="none"/>
        </w:rPr>
        <w:t>评审人员</w:t>
      </w:r>
      <w:r>
        <w:rPr>
          <w:rFonts w:hint="eastAsia" w:ascii="宋体" w:hAnsi="宋体" w:eastAsia="宋体" w:cs="宋体"/>
          <w:snapToGrid w:val="0"/>
          <w:color w:val="auto"/>
          <w:highlight w:val="none"/>
        </w:rPr>
        <w:t>的纪律要求</w:t>
      </w:r>
      <w:bookmarkEnd w:id="175"/>
      <w:bookmarkEnd w:id="176"/>
      <w:bookmarkEnd w:id="177"/>
      <w:bookmarkEnd w:id="178"/>
      <w:bookmarkEnd w:id="179"/>
    </w:p>
    <w:p w14:paraId="036F8F94">
      <w:pPr>
        <w:autoSpaceDE w:val="0"/>
        <w:autoSpaceDN w:val="0"/>
        <w:adjustRightInd w:val="0"/>
        <w:snapToGrid w:val="0"/>
        <w:spacing w:line="360" w:lineRule="auto"/>
        <w:ind w:firstLine="420"/>
        <w:rPr>
          <w:rFonts w:ascii="宋体" w:hAnsi="宋体" w:cs="宋体"/>
          <w:snapToGrid w:val="0"/>
          <w:color w:val="auto"/>
          <w:kern w:val="0"/>
          <w:szCs w:val="21"/>
          <w:highlight w:val="none"/>
        </w:rPr>
      </w:pPr>
      <w:r>
        <w:rPr>
          <w:rFonts w:hint="eastAsia" w:ascii="宋体" w:hAnsi="宋体" w:cs="宋体"/>
          <w:color w:val="auto"/>
          <w:kern w:val="0"/>
          <w:szCs w:val="21"/>
          <w:highlight w:val="none"/>
        </w:rPr>
        <w:t>评审人员</w:t>
      </w:r>
      <w:r>
        <w:rPr>
          <w:rFonts w:hint="eastAsia" w:ascii="宋体" w:hAnsi="宋体" w:cs="宋体"/>
          <w:snapToGrid w:val="0"/>
          <w:color w:val="auto"/>
          <w:kern w:val="0"/>
          <w:szCs w:val="21"/>
          <w:highlight w:val="none"/>
        </w:rPr>
        <w:t>不得收受他人的财物或者其他好处，不得向他人透漏对竞选文件的评审和比较、中标候选人的推荐情况以及评标有关的其他情况。在评标活动中，</w:t>
      </w:r>
      <w:r>
        <w:rPr>
          <w:rFonts w:hint="eastAsia" w:ascii="宋体" w:hAnsi="宋体" w:cs="宋体"/>
          <w:color w:val="auto"/>
          <w:kern w:val="0"/>
          <w:szCs w:val="21"/>
          <w:highlight w:val="none"/>
        </w:rPr>
        <w:t>评审人员</w:t>
      </w:r>
      <w:r>
        <w:rPr>
          <w:rFonts w:hint="eastAsia" w:ascii="宋体" w:hAnsi="宋体" w:cs="宋体"/>
          <w:snapToGrid w:val="0"/>
          <w:color w:val="auto"/>
          <w:kern w:val="0"/>
          <w:szCs w:val="21"/>
          <w:highlight w:val="none"/>
        </w:rPr>
        <w:t>不得擅离职守，影响评标程序正常进行，不得使用第三章“评标办法”没有规定的评审因素和标准进行评标。</w:t>
      </w:r>
    </w:p>
    <w:p w14:paraId="70DF41A0">
      <w:pPr>
        <w:pStyle w:val="5"/>
        <w:snapToGrid w:val="0"/>
        <w:spacing w:before="0" w:line="360" w:lineRule="auto"/>
        <w:rPr>
          <w:rFonts w:ascii="宋体" w:hAnsi="宋体" w:eastAsia="宋体" w:cs="宋体"/>
          <w:snapToGrid w:val="0"/>
          <w:color w:val="auto"/>
          <w:highlight w:val="none"/>
        </w:rPr>
      </w:pPr>
      <w:bookmarkStart w:id="180" w:name="_Toc200513176"/>
      <w:bookmarkStart w:id="181" w:name="_Toc224103367"/>
      <w:bookmarkStart w:id="182" w:name="_Toc277082602"/>
      <w:bookmarkStart w:id="183" w:name="_Toc287620735"/>
      <w:bookmarkStart w:id="184" w:name="_Toc287607796"/>
      <w:r>
        <w:rPr>
          <w:rFonts w:hint="eastAsia" w:ascii="宋体" w:hAnsi="宋体" w:eastAsia="宋体" w:cs="宋体"/>
          <w:snapToGrid w:val="0"/>
          <w:color w:val="auto"/>
          <w:highlight w:val="none"/>
        </w:rPr>
        <w:t>9.4  对与评标活动有关的工作人员的纪律要求</w:t>
      </w:r>
      <w:bookmarkEnd w:id="180"/>
      <w:bookmarkEnd w:id="181"/>
      <w:bookmarkEnd w:id="182"/>
      <w:bookmarkEnd w:id="183"/>
      <w:bookmarkEnd w:id="184"/>
    </w:p>
    <w:p w14:paraId="51482636">
      <w:pPr>
        <w:autoSpaceDE w:val="0"/>
        <w:autoSpaceDN w:val="0"/>
        <w:adjustRightInd w:val="0"/>
        <w:snapToGrid w:val="0"/>
        <w:spacing w:line="360" w:lineRule="auto"/>
        <w:ind w:firstLine="420"/>
        <w:rPr>
          <w:rFonts w:ascii="宋体" w:hAnsi="宋体" w:cs="宋体"/>
          <w:snapToGrid w:val="0"/>
          <w:color w:val="auto"/>
          <w:kern w:val="0"/>
          <w:szCs w:val="21"/>
          <w:highlight w:val="none"/>
        </w:rPr>
      </w:pPr>
      <w:r>
        <w:rPr>
          <w:rFonts w:hint="eastAsia" w:ascii="宋体" w:hAnsi="宋体" w:cs="宋体"/>
          <w:snapToGrid w:val="0"/>
          <w:color w:val="auto"/>
          <w:kern w:val="0"/>
          <w:szCs w:val="21"/>
          <w:highlight w:val="none"/>
        </w:rPr>
        <w:t>与评标活动有关的工作人员不得收受他人的财物或者其他好处，不得向他人透漏对竞选文件的评审和比较、中标候选人的推荐情况以及与评标有关的其他情况。在评标活动中，与评标活动有关的工作人员不得擅离职守，影响评标程序正常进行。</w:t>
      </w:r>
    </w:p>
    <w:p w14:paraId="267A5D71">
      <w:pPr>
        <w:pStyle w:val="5"/>
        <w:snapToGrid w:val="0"/>
        <w:spacing w:before="0" w:line="360" w:lineRule="auto"/>
        <w:rPr>
          <w:rFonts w:ascii="宋体" w:hAnsi="宋体" w:eastAsia="宋体" w:cs="宋体"/>
          <w:snapToGrid w:val="0"/>
          <w:color w:val="auto"/>
          <w:highlight w:val="none"/>
        </w:rPr>
      </w:pPr>
      <w:bookmarkStart w:id="185" w:name="_Toc287620736"/>
      <w:bookmarkStart w:id="186" w:name="_Toc277082603"/>
      <w:bookmarkStart w:id="187" w:name="_Toc200513177"/>
      <w:bookmarkStart w:id="188" w:name="_Toc287607797"/>
      <w:bookmarkStart w:id="189" w:name="_Toc224103368"/>
      <w:r>
        <w:rPr>
          <w:rFonts w:hint="eastAsia" w:ascii="宋体" w:hAnsi="宋体" w:eastAsia="宋体" w:cs="宋体"/>
          <w:snapToGrid w:val="0"/>
          <w:color w:val="auto"/>
          <w:highlight w:val="none"/>
        </w:rPr>
        <w:t>9.5  投诉</w:t>
      </w:r>
      <w:bookmarkEnd w:id="185"/>
      <w:bookmarkEnd w:id="186"/>
      <w:bookmarkEnd w:id="187"/>
      <w:bookmarkEnd w:id="188"/>
      <w:bookmarkEnd w:id="189"/>
    </w:p>
    <w:p w14:paraId="5FD09909">
      <w:pPr>
        <w:autoSpaceDE w:val="0"/>
        <w:autoSpaceDN w:val="0"/>
        <w:adjustRightInd w:val="0"/>
        <w:snapToGrid w:val="0"/>
        <w:spacing w:line="360" w:lineRule="auto"/>
        <w:ind w:firstLine="420"/>
        <w:jc w:val="left"/>
        <w:rPr>
          <w:rFonts w:ascii="宋体" w:hAnsi="宋体" w:cs="宋体"/>
          <w:snapToGrid w:val="0"/>
          <w:color w:val="auto"/>
          <w:kern w:val="0"/>
          <w:szCs w:val="21"/>
          <w:highlight w:val="none"/>
        </w:rPr>
      </w:pPr>
      <w:r>
        <w:rPr>
          <w:rFonts w:hint="eastAsia" w:ascii="宋体" w:hAnsi="宋体" w:cs="宋体"/>
          <w:snapToGrid w:val="0"/>
          <w:color w:val="auto"/>
          <w:kern w:val="0"/>
          <w:szCs w:val="21"/>
          <w:highlight w:val="none"/>
        </w:rPr>
        <w:t>竞选人和其他利害关系人认为本次比选活动违反法律、法规和规章规定的，有权向有关行政监督部门投诉。</w:t>
      </w:r>
    </w:p>
    <w:p w14:paraId="09903F2D">
      <w:pPr>
        <w:pStyle w:val="4"/>
        <w:rPr>
          <w:rFonts w:ascii="宋体" w:hAnsi="宋体" w:eastAsia="宋体" w:cs="宋体"/>
          <w:snapToGrid w:val="0"/>
          <w:color w:val="auto"/>
          <w:highlight w:val="none"/>
        </w:rPr>
      </w:pPr>
      <w:bookmarkStart w:id="190" w:name="_Toc277082604"/>
      <w:bookmarkStart w:id="191" w:name="_Toc31824"/>
      <w:bookmarkStart w:id="192" w:name="_Toc200513178"/>
      <w:bookmarkStart w:id="193" w:name="_Toc287620737"/>
      <w:bookmarkStart w:id="194" w:name="_Toc224103369"/>
      <w:bookmarkStart w:id="195" w:name="_Toc287607798"/>
      <w:r>
        <w:rPr>
          <w:rFonts w:hint="eastAsia" w:ascii="宋体" w:hAnsi="宋体" w:eastAsia="宋体" w:cs="宋体"/>
          <w:snapToGrid w:val="0"/>
          <w:color w:val="auto"/>
          <w:highlight w:val="none"/>
        </w:rPr>
        <w:t>10. 需要补充的其他内容</w:t>
      </w:r>
      <w:bookmarkEnd w:id="190"/>
      <w:bookmarkEnd w:id="191"/>
      <w:bookmarkEnd w:id="192"/>
      <w:bookmarkEnd w:id="193"/>
      <w:bookmarkEnd w:id="194"/>
      <w:bookmarkEnd w:id="195"/>
    </w:p>
    <w:p w14:paraId="272BA743">
      <w:pPr>
        <w:autoSpaceDE w:val="0"/>
        <w:autoSpaceDN w:val="0"/>
        <w:adjustRightInd w:val="0"/>
        <w:snapToGrid w:val="0"/>
        <w:spacing w:line="360" w:lineRule="auto"/>
        <w:ind w:firstLine="420"/>
        <w:jc w:val="left"/>
        <w:rPr>
          <w:rFonts w:ascii="宋体" w:hAnsi="宋体" w:cs="宋体"/>
          <w:snapToGrid w:val="0"/>
          <w:color w:val="auto"/>
          <w:kern w:val="0"/>
          <w:szCs w:val="21"/>
          <w:highlight w:val="none"/>
        </w:rPr>
      </w:pPr>
      <w:r>
        <w:rPr>
          <w:rFonts w:hint="eastAsia" w:ascii="宋体" w:hAnsi="宋体" w:cs="宋体"/>
          <w:snapToGrid w:val="0"/>
          <w:color w:val="auto"/>
          <w:kern w:val="0"/>
          <w:szCs w:val="21"/>
          <w:highlight w:val="none"/>
        </w:rPr>
        <w:t>需要补充的其他内容：见竞选人须知前附表。</w:t>
      </w:r>
    </w:p>
    <w:p w14:paraId="0E0FBC2A">
      <w:pPr>
        <w:ind w:firstLine="420" w:firstLineChars="200"/>
        <w:jc w:val="right"/>
        <w:rPr>
          <w:rFonts w:ascii="宋体" w:hAnsi="宋体" w:cs="宋体"/>
          <w:color w:val="auto"/>
          <w:szCs w:val="21"/>
          <w:highlight w:val="none"/>
        </w:rPr>
        <w:sectPr>
          <w:headerReference r:id="rId9" w:type="first"/>
          <w:footerReference r:id="rId12" w:type="first"/>
          <w:headerReference r:id="rId7" w:type="default"/>
          <w:footerReference r:id="rId10" w:type="default"/>
          <w:headerReference r:id="rId8" w:type="even"/>
          <w:footerReference r:id="rId11" w:type="even"/>
          <w:pgSz w:w="11906" w:h="16838"/>
          <w:pgMar w:top="1418" w:right="1134" w:bottom="1134" w:left="1418" w:header="851" w:footer="992" w:gutter="0"/>
          <w:cols w:space="720" w:num="1"/>
          <w:docGrid w:linePitch="312" w:charSpace="0"/>
        </w:sectPr>
      </w:pPr>
      <w:bookmarkStart w:id="196" w:name="A13"/>
    </w:p>
    <w:p w14:paraId="23BEFEDA">
      <w:pPr>
        <w:rPr>
          <w:rFonts w:ascii="宋体" w:hAnsi="宋体" w:cs="宋体"/>
          <w:color w:val="auto"/>
          <w:szCs w:val="21"/>
          <w:highlight w:val="none"/>
        </w:rPr>
      </w:pPr>
      <w:r>
        <w:rPr>
          <w:rFonts w:hint="eastAsia"/>
          <w:color w:val="auto"/>
          <w:highlight w:val="none"/>
        </w:rPr>
        <w:drawing>
          <wp:inline distT="0" distB="0" distL="114300" distR="114300">
            <wp:extent cx="9340850" cy="5558155"/>
            <wp:effectExtent l="0" t="0" r="12700" b="4445"/>
            <wp:docPr id="1" name="图片 2" descr="166245915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2" descr="1662459155(1)"/>
                    <pic:cNvPicPr>
                      <a:picLocks noChangeAspect="1"/>
                    </pic:cNvPicPr>
                  </pic:nvPicPr>
                  <pic:blipFill>
                    <a:blip r:embed="rId23"/>
                    <a:stretch>
                      <a:fillRect/>
                    </a:stretch>
                  </pic:blipFill>
                  <pic:spPr>
                    <a:xfrm>
                      <a:off x="0" y="0"/>
                      <a:ext cx="9340850" cy="5558155"/>
                    </a:xfrm>
                    <a:prstGeom prst="rect">
                      <a:avLst/>
                    </a:prstGeom>
                    <a:noFill/>
                    <a:ln>
                      <a:noFill/>
                    </a:ln>
                  </pic:spPr>
                </pic:pic>
              </a:graphicData>
            </a:graphic>
          </wp:inline>
        </w:drawing>
      </w:r>
    </w:p>
    <w:p w14:paraId="793A2F79">
      <w:pPr>
        <w:rPr>
          <w:rFonts w:ascii="宋体" w:hAnsi="宋体" w:cs="宋体"/>
          <w:b/>
          <w:color w:val="auto"/>
          <w:szCs w:val="21"/>
          <w:highlight w:val="none"/>
        </w:rPr>
        <w:sectPr>
          <w:pgSz w:w="16838" w:h="11906" w:orient="landscape"/>
          <w:pgMar w:top="1418" w:right="1418" w:bottom="1134" w:left="1134" w:header="851" w:footer="992" w:gutter="0"/>
          <w:cols w:space="720" w:num="1"/>
          <w:docGrid w:linePitch="312" w:charSpace="0"/>
        </w:sectPr>
      </w:pPr>
    </w:p>
    <w:p w14:paraId="013ADD6B">
      <w:pPr>
        <w:rPr>
          <w:rFonts w:ascii="宋体" w:hAnsi="宋体" w:cs="宋体"/>
          <w:b/>
          <w:color w:val="auto"/>
          <w:szCs w:val="21"/>
          <w:highlight w:val="none"/>
        </w:rPr>
      </w:pPr>
      <w:r>
        <w:rPr>
          <w:rFonts w:hint="eastAsia" w:ascii="宋体" w:hAnsi="宋体" w:cs="宋体"/>
          <w:b/>
          <w:color w:val="auto"/>
          <w:szCs w:val="21"/>
          <w:highlight w:val="none"/>
        </w:rPr>
        <w:t>附表二：问题澄清通知</w:t>
      </w:r>
    </w:p>
    <w:p w14:paraId="458D7F67">
      <w:pPr>
        <w:rPr>
          <w:rFonts w:ascii="宋体" w:hAnsi="宋体" w:cs="宋体"/>
          <w:b/>
          <w:color w:val="auto"/>
          <w:szCs w:val="21"/>
          <w:highlight w:val="none"/>
        </w:rPr>
      </w:pPr>
    </w:p>
    <w:p w14:paraId="25CE9F6B">
      <w:pPr>
        <w:ind w:firstLine="422" w:firstLineChars="200"/>
        <w:jc w:val="center"/>
        <w:rPr>
          <w:rFonts w:ascii="宋体" w:hAnsi="宋体" w:cs="宋体"/>
          <w:b/>
          <w:color w:val="auto"/>
          <w:szCs w:val="21"/>
          <w:highlight w:val="none"/>
        </w:rPr>
      </w:pPr>
      <w:r>
        <w:rPr>
          <w:rFonts w:hint="eastAsia" w:ascii="宋体" w:hAnsi="宋体" w:cs="宋体"/>
          <w:b/>
          <w:color w:val="auto"/>
          <w:szCs w:val="21"/>
          <w:highlight w:val="none"/>
        </w:rPr>
        <w:t>问题澄清通知</w:t>
      </w:r>
    </w:p>
    <w:p w14:paraId="1F880F8E">
      <w:pPr>
        <w:ind w:firstLine="2835" w:firstLineChars="1350"/>
        <w:rPr>
          <w:rFonts w:ascii="宋体" w:hAnsi="宋体" w:cs="宋体"/>
          <w:color w:val="auto"/>
          <w:szCs w:val="21"/>
          <w:highlight w:val="none"/>
        </w:rPr>
      </w:pPr>
      <w:r>
        <w:rPr>
          <w:rFonts w:hint="eastAsia" w:ascii="宋体" w:hAnsi="宋体" w:cs="宋体"/>
          <w:color w:val="auto"/>
          <w:szCs w:val="21"/>
          <w:highlight w:val="none"/>
        </w:rPr>
        <w:t>编号：</w:t>
      </w:r>
    </w:p>
    <w:p w14:paraId="2B630276">
      <w:pPr>
        <w:ind w:firstLine="2625" w:firstLineChars="1250"/>
        <w:rPr>
          <w:rFonts w:ascii="宋体" w:hAnsi="宋体" w:cs="宋体"/>
          <w:color w:val="auto"/>
          <w:szCs w:val="21"/>
          <w:highlight w:val="none"/>
        </w:rPr>
      </w:pPr>
    </w:p>
    <w:p w14:paraId="1F1544C8">
      <w:pPr>
        <w:ind w:firstLine="2625" w:firstLineChars="1250"/>
        <w:rPr>
          <w:rFonts w:ascii="宋体" w:hAnsi="宋体" w:cs="宋体"/>
          <w:color w:val="auto"/>
          <w:szCs w:val="21"/>
          <w:highlight w:val="none"/>
        </w:rPr>
      </w:pPr>
    </w:p>
    <w:p w14:paraId="222098F0">
      <w:pPr>
        <w:rPr>
          <w:rFonts w:ascii="宋体" w:hAnsi="宋体" w:cs="宋体"/>
          <w:color w:val="auto"/>
          <w:szCs w:val="21"/>
          <w:highlight w:val="none"/>
        </w:rPr>
      </w:pPr>
      <w:r>
        <w:rPr>
          <w:rFonts w:hint="eastAsia" w:ascii="宋体" w:hAnsi="宋体" w:cs="宋体"/>
          <w:color w:val="auto"/>
          <w:szCs w:val="21"/>
          <w:highlight w:val="none"/>
          <w:u w:val="single"/>
        </w:rPr>
        <w:t xml:space="preserve">           </w:t>
      </w:r>
      <w:r>
        <w:rPr>
          <w:rFonts w:hint="eastAsia" w:ascii="宋体" w:hAnsi="宋体" w:cs="宋体"/>
          <w:color w:val="auto"/>
          <w:szCs w:val="21"/>
          <w:highlight w:val="none"/>
        </w:rPr>
        <w:t>（竞选人名称）：</w:t>
      </w:r>
    </w:p>
    <w:p w14:paraId="6ECB1710">
      <w:pPr>
        <w:rPr>
          <w:rFonts w:ascii="宋体" w:hAnsi="宋体" w:cs="宋体"/>
          <w:color w:val="auto"/>
          <w:szCs w:val="21"/>
          <w:highlight w:val="none"/>
        </w:rPr>
      </w:pPr>
    </w:p>
    <w:p w14:paraId="1ACEFCAB">
      <w:pPr>
        <w:spacing w:line="360" w:lineRule="auto"/>
        <w:ind w:firstLine="420" w:firstLineChars="200"/>
        <w:rPr>
          <w:rFonts w:ascii="宋体" w:hAnsi="宋体" w:cs="宋体"/>
          <w:color w:val="auto"/>
          <w:szCs w:val="21"/>
          <w:highlight w:val="none"/>
        </w:rPr>
      </w:pPr>
      <w:r>
        <w:rPr>
          <w:rFonts w:hint="eastAsia" w:ascii="宋体" w:hAnsi="宋体" w:cs="宋体"/>
          <w:color w:val="auto"/>
          <w:szCs w:val="21"/>
          <w:highlight w:val="none"/>
          <w:u w:val="single"/>
        </w:rPr>
        <w:t xml:space="preserve">                 </w:t>
      </w:r>
      <w:r>
        <w:rPr>
          <w:rFonts w:hint="eastAsia" w:ascii="宋体" w:hAnsi="宋体" w:cs="宋体"/>
          <w:color w:val="auto"/>
          <w:kern w:val="0"/>
          <w:szCs w:val="21"/>
          <w:highlight w:val="none"/>
        </w:rPr>
        <w:t>（项目名称）竞争性</w:t>
      </w:r>
      <w:r>
        <w:rPr>
          <w:rFonts w:hint="eastAsia" w:ascii="宋体" w:hAnsi="宋体" w:cs="宋体"/>
          <w:color w:val="auto"/>
          <w:szCs w:val="21"/>
          <w:highlight w:val="none"/>
        </w:rPr>
        <w:t>比选的</w:t>
      </w:r>
      <w:r>
        <w:rPr>
          <w:rFonts w:hint="eastAsia" w:ascii="宋体" w:hAnsi="宋体" w:cs="宋体"/>
          <w:color w:val="auto"/>
          <w:kern w:val="0"/>
          <w:szCs w:val="21"/>
          <w:highlight w:val="none"/>
        </w:rPr>
        <w:t>评审人员</w:t>
      </w:r>
      <w:r>
        <w:rPr>
          <w:rFonts w:hint="eastAsia" w:ascii="宋体" w:hAnsi="宋体" w:cs="宋体"/>
          <w:color w:val="auto"/>
          <w:szCs w:val="21"/>
          <w:highlight w:val="none"/>
        </w:rPr>
        <w:t>，对你方的竞选文件进行了仔细的审查，现需你方对下列问题以书面形式予以澄清：</w:t>
      </w:r>
    </w:p>
    <w:p w14:paraId="65B61BF0">
      <w:pPr>
        <w:spacing w:line="360" w:lineRule="auto"/>
        <w:ind w:firstLine="420" w:firstLineChars="200"/>
        <w:rPr>
          <w:rFonts w:ascii="宋体" w:hAnsi="宋体" w:cs="宋体"/>
          <w:color w:val="auto"/>
          <w:szCs w:val="21"/>
          <w:highlight w:val="none"/>
        </w:rPr>
      </w:pPr>
      <w:r>
        <w:rPr>
          <w:rFonts w:hint="eastAsia" w:ascii="宋体" w:hAnsi="宋体" w:cs="宋体"/>
          <w:color w:val="auto"/>
          <w:szCs w:val="21"/>
          <w:highlight w:val="none"/>
        </w:rPr>
        <w:t>1.</w:t>
      </w:r>
    </w:p>
    <w:p w14:paraId="216549D4">
      <w:pPr>
        <w:spacing w:line="360" w:lineRule="auto"/>
        <w:ind w:firstLine="420" w:firstLineChars="200"/>
        <w:rPr>
          <w:rFonts w:ascii="宋体" w:hAnsi="宋体" w:cs="宋体"/>
          <w:color w:val="auto"/>
          <w:szCs w:val="21"/>
          <w:highlight w:val="none"/>
        </w:rPr>
      </w:pPr>
      <w:r>
        <w:rPr>
          <w:rFonts w:hint="eastAsia" w:ascii="宋体" w:hAnsi="宋体" w:cs="宋体"/>
          <w:color w:val="auto"/>
          <w:szCs w:val="21"/>
          <w:highlight w:val="none"/>
        </w:rPr>
        <w:t>2.</w:t>
      </w:r>
    </w:p>
    <w:p w14:paraId="56D735AF">
      <w:pPr>
        <w:ind w:firstLine="420" w:firstLineChars="200"/>
        <w:rPr>
          <w:rFonts w:ascii="宋体" w:hAnsi="宋体" w:cs="宋体"/>
          <w:color w:val="auto"/>
          <w:szCs w:val="21"/>
          <w:highlight w:val="none"/>
        </w:rPr>
      </w:pPr>
      <w:r>
        <w:rPr>
          <w:rFonts w:hint="eastAsia" w:ascii="宋体" w:hAnsi="宋体" w:cs="宋体"/>
          <w:color w:val="auto"/>
          <w:szCs w:val="21"/>
          <w:highlight w:val="none"/>
        </w:rPr>
        <w:t>......</w:t>
      </w:r>
    </w:p>
    <w:p w14:paraId="2EC36DD5">
      <w:pPr>
        <w:ind w:firstLine="420" w:firstLineChars="200"/>
        <w:rPr>
          <w:rFonts w:ascii="宋体" w:hAnsi="宋体" w:cs="宋体"/>
          <w:color w:val="auto"/>
          <w:szCs w:val="21"/>
          <w:highlight w:val="none"/>
        </w:rPr>
      </w:pPr>
      <w:r>
        <w:rPr>
          <w:rFonts w:hint="eastAsia" w:ascii="宋体" w:hAnsi="宋体" w:cs="宋体"/>
          <w:color w:val="auto"/>
          <w:szCs w:val="21"/>
          <w:highlight w:val="none"/>
        </w:rPr>
        <w:t>请将上述问题的澄清于     年  月  日 时前递交至</w:t>
      </w:r>
      <w:r>
        <w:rPr>
          <w:rFonts w:hint="eastAsia" w:ascii="宋体" w:hAnsi="宋体" w:cs="宋体"/>
          <w:color w:val="auto"/>
          <w:szCs w:val="21"/>
          <w:highlight w:val="none"/>
          <w:u w:val="single"/>
        </w:rPr>
        <w:t xml:space="preserve">                   </w:t>
      </w:r>
      <w:r>
        <w:rPr>
          <w:rFonts w:hint="eastAsia" w:ascii="宋体" w:hAnsi="宋体" w:cs="宋体"/>
          <w:color w:val="auto"/>
          <w:szCs w:val="21"/>
          <w:highlight w:val="none"/>
        </w:rPr>
        <w:t>（详细地址）。</w:t>
      </w:r>
    </w:p>
    <w:p w14:paraId="597EC730">
      <w:pPr>
        <w:ind w:firstLine="420" w:firstLineChars="200"/>
        <w:rPr>
          <w:rFonts w:ascii="宋体" w:hAnsi="宋体" w:cs="宋体"/>
          <w:color w:val="auto"/>
          <w:szCs w:val="21"/>
          <w:highlight w:val="none"/>
        </w:rPr>
      </w:pPr>
    </w:p>
    <w:p w14:paraId="00A720EB">
      <w:pPr>
        <w:ind w:right="560" w:firstLine="420" w:firstLineChars="200"/>
        <w:jc w:val="center"/>
        <w:rPr>
          <w:rFonts w:ascii="宋体" w:hAnsi="宋体" w:cs="宋体"/>
          <w:color w:val="auto"/>
          <w:szCs w:val="21"/>
          <w:highlight w:val="none"/>
        </w:rPr>
      </w:pPr>
      <w:r>
        <w:rPr>
          <w:rFonts w:hint="eastAsia" w:ascii="宋体" w:hAnsi="宋体" w:cs="宋体"/>
          <w:color w:val="auto"/>
          <w:szCs w:val="21"/>
          <w:highlight w:val="none"/>
        </w:rPr>
        <w:t xml:space="preserve">           评标工作组负责人：</w:t>
      </w:r>
      <w:r>
        <w:rPr>
          <w:rFonts w:hint="eastAsia" w:ascii="宋体" w:hAnsi="宋体" w:cs="宋体"/>
          <w:color w:val="auto"/>
          <w:szCs w:val="21"/>
          <w:highlight w:val="none"/>
          <w:u w:val="single"/>
        </w:rPr>
        <w:t xml:space="preserve">        </w:t>
      </w:r>
      <w:r>
        <w:rPr>
          <w:rFonts w:hint="eastAsia" w:ascii="宋体" w:hAnsi="宋体" w:cs="宋体"/>
          <w:color w:val="auto"/>
          <w:szCs w:val="21"/>
          <w:highlight w:val="none"/>
        </w:rPr>
        <w:t>（签字）</w:t>
      </w:r>
    </w:p>
    <w:p w14:paraId="7FF75EFE">
      <w:pPr>
        <w:ind w:right="560" w:firstLine="420" w:firstLineChars="200"/>
        <w:jc w:val="center"/>
        <w:rPr>
          <w:rFonts w:ascii="宋体" w:hAnsi="宋体" w:cs="宋体"/>
          <w:color w:val="auto"/>
          <w:szCs w:val="21"/>
          <w:highlight w:val="none"/>
        </w:rPr>
      </w:pPr>
    </w:p>
    <w:p w14:paraId="15AFBEEE">
      <w:pPr>
        <w:ind w:right="560" w:firstLine="4410" w:firstLineChars="2100"/>
        <w:rPr>
          <w:rFonts w:ascii="宋体" w:hAnsi="宋体" w:cs="宋体"/>
          <w:color w:val="auto"/>
          <w:szCs w:val="21"/>
          <w:highlight w:val="none"/>
        </w:rPr>
      </w:pPr>
      <w:r>
        <w:rPr>
          <w:rFonts w:hint="eastAsia" w:ascii="宋体" w:hAnsi="宋体" w:cs="宋体"/>
          <w:color w:val="auto"/>
          <w:szCs w:val="21"/>
          <w:highlight w:val="none"/>
          <w:u w:val="single"/>
        </w:rPr>
        <w:t xml:space="preserve">       </w:t>
      </w:r>
      <w:r>
        <w:rPr>
          <w:rFonts w:hint="eastAsia" w:ascii="宋体" w:hAnsi="宋体" w:cs="宋体"/>
          <w:color w:val="auto"/>
          <w:szCs w:val="21"/>
          <w:highlight w:val="none"/>
        </w:rPr>
        <w:t>年</w:t>
      </w:r>
      <w:r>
        <w:rPr>
          <w:rFonts w:hint="eastAsia" w:ascii="宋体" w:hAnsi="宋体" w:cs="宋体"/>
          <w:color w:val="auto"/>
          <w:szCs w:val="21"/>
          <w:highlight w:val="none"/>
          <w:u w:val="single"/>
        </w:rPr>
        <w:t xml:space="preserve">      </w:t>
      </w:r>
      <w:r>
        <w:rPr>
          <w:rFonts w:hint="eastAsia" w:ascii="宋体" w:hAnsi="宋体" w:cs="宋体"/>
          <w:color w:val="auto"/>
          <w:szCs w:val="21"/>
          <w:highlight w:val="none"/>
        </w:rPr>
        <w:t>月</w:t>
      </w:r>
      <w:r>
        <w:rPr>
          <w:rFonts w:hint="eastAsia" w:ascii="宋体" w:hAnsi="宋体" w:cs="宋体"/>
          <w:color w:val="auto"/>
          <w:szCs w:val="21"/>
          <w:highlight w:val="none"/>
          <w:u w:val="single"/>
        </w:rPr>
        <w:t xml:space="preserve">       </w:t>
      </w:r>
      <w:r>
        <w:rPr>
          <w:rFonts w:hint="eastAsia" w:ascii="宋体" w:hAnsi="宋体" w:cs="宋体"/>
          <w:color w:val="auto"/>
          <w:szCs w:val="21"/>
          <w:highlight w:val="none"/>
        </w:rPr>
        <w:t>日</w:t>
      </w:r>
    </w:p>
    <w:p w14:paraId="65CFE368">
      <w:pPr>
        <w:ind w:firstLine="308" w:firstLineChars="147"/>
        <w:rPr>
          <w:rFonts w:ascii="宋体" w:hAnsi="宋体" w:cs="宋体"/>
          <w:b/>
          <w:color w:val="auto"/>
          <w:szCs w:val="21"/>
          <w:highlight w:val="none"/>
        </w:rPr>
      </w:pPr>
      <w:r>
        <w:rPr>
          <w:rFonts w:hint="eastAsia" w:ascii="宋体" w:hAnsi="宋体" w:cs="宋体"/>
          <w:color w:val="auto"/>
          <w:szCs w:val="21"/>
          <w:highlight w:val="none"/>
        </w:rPr>
        <w:br w:type="page"/>
      </w:r>
      <w:r>
        <w:rPr>
          <w:rFonts w:hint="eastAsia" w:ascii="宋体" w:hAnsi="宋体" w:cs="宋体"/>
          <w:b/>
          <w:color w:val="auto"/>
          <w:szCs w:val="21"/>
          <w:highlight w:val="none"/>
        </w:rPr>
        <w:t>附表三：问题的澄清</w:t>
      </w:r>
    </w:p>
    <w:p w14:paraId="3EE1AC39">
      <w:pPr>
        <w:rPr>
          <w:rFonts w:ascii="宋体" w:hAnsi="宋体" w:cs="宋体"/>
          <w:b/>
          <w:color w:val="auto"/>
          <w:szCs w:val="21"/>
          <w:highlight w:val="none"/>
        </w:rPr>
      </w:pPr>
    </w:p>
    <w:p w14:paraId="407804D6">
      <w:pPr>
        <w:ind w:firstLine="422" w:firstLineChars="200"/>
        <w:jc w:val="center"/>
        <w:rPr>
          <w:rFonts w:ascii="宋体" w:hAnsi="宋体" w:cs="宋体"/>
          <w:b/>
          <w:color w:val="auto"/>
          <w:szCs w:val="21"/>
          <w:highlight w:val="none"/>
        </w:rPr>
      </w:pPr>
      <w:r>
        <w:rPr>
          <w:rFonts w:hint="eastAsia" w:ascii="宋体" w:hAnsi="宋体" w:cs="宋体"/>
          <w:b/>
          <w:color w:val="auto"/>
          <w:szCs w:val="21"/>
          <w:highlight w:val="none"/>
        </w:rPr>
        <w:t>问题的澄清</w:t>
      </w:r>
    </w:p>
    <w:p w14:paraId="67D63E77">
      <w:pPr>
        <w:ind w:firstLine="2730" w:firstLineChars="1300"/>
        <w:rPr>
          <w:rFonts w:ascii="宋体" w:hAnsi="宋体" w:cs="宋体"/>
          <w:color w:val="auto"/>
          <w:szCs w:val="21"/>
          <w:highlight w:val="none"/>
          <w:u w:val="single"/>
        </w:rPr>
      </w:pPr>
      <w:r>
        <w:rPr>
          <w:rFonts w:hint="eastAsia" w:ascii="宋体" w:hAnsi="宋体" w:cs="宋体"/>
          <w:color w:val="auto"/>
          <w:szCs w:val="21"/>
          <w:highlight w:val="none"/>
        </w:rPr>
        <w:t>编号：</w:t>
      </w:r>
      <w:r>
        <w:rPr>
          <w:rFonts w:hint="eastAsia" w:ascii="宋体" w:hAnsi="宋体" w:cs="宋体"/>
          <w:color w:val="auto"/>
          <w:szCs w:val="21"/>
          <w:highlight w:val="none"/>
          <w:u w:val="single"/>
        </w:rPr>
        <w:t xml:space="preserve">                  </w:t>
      </w:r>
    </w:p>
    <w:p w14:paraId="3BA4B42C">
      <w:pPr>
        <w:ind w:firstLine="2730" w:firstLineChars="1300"/>
        <w:rPr>
          <w:rFonts w:ascii="宋体" w:hAnsi="宋体" w:cs="宋体"/>
          <w:color w:val="auto"/>
          <w:szCs w:val="21"/>
          <w:highlight w:val="none"/>
          <w:u w:val="single"/>
        </w:rPr>
      </w:pPr>
    </w:p>
    <w:p w14:paraId="2DE0A802">
      <w:pPr>
        <w:ind w:firstLine="525" w:firstLineChars="250"/>
        <w:rPr>
          <w:rFonts w:ascii="宋体" w:hAnsi="宋体" w:cs="宋体"/>
          <w:color w:val="auto"/>
          <w:szCs w:val="21"/>
          <w:highlight w:val="none"/>
        </w:rPr>
      </w:pPr>
      <w:r>
        <w:rPr>
          <w:rFonts w:hint="eastAsia" w:ascii="宋体" w:hAnsi="宋体" w:cs="宋体"/>
          <w:color w:val="auto"/>
          <w:szCs w:val="21"/>
          <w:highlight w:val="none"/>
          <w:u w:val="single"/>
        </w:rPr>
        <w:t xml:space="preserve">             </w:t>
      </w:r>
      <w:r>
        <w:rPr>
          <w:rFonts w:hint="eastAsia" w:ascii="宋体" w:hAnsi="宋体" w:cs="宋体"/>
          <w:color w:val="auto"/>
          <w:kern w:val="0"/>
          <w:szCs w:val="21"/>
          <w:highlight w:val="none"/>
        </w:rPr>
        <w:t>（项目名称）</w:t>
      </w:r>
      <w:r>
        <w:rPr>
          <w:rFonts w:hint="eastAsia" w:ascii="宋体" w:hAnsi="宋体" w:cs="宋体"/>
          <w:color w:val="auto"/>
          <w:szCs w:val="21"/>
          <w:highlight w:val="none"/>
        </w:rPr>
        <w:t xml:space="preserve"> 竞争性比选</w:t>
      </w:r>
      <w:r>
        <w:rPr>
          <w:rFonts w:hint="eastAsia" w:ascii="宋体" w:hAnsi="宋体" w:cs="宋体"/>
          <w:color w:val="auto"/>
          <w:kern w:val="0"/>
          <w:szCs w:val="21"/>
          <w:highlight w:val="none"/>
        </w:rPr>
        <w:t>评审人员</w:t>
      </w:r>
      <w:r>
        <w:rPr>
          <w:rFonts w:hint="eastAsia" w:ascii="宋体" w:hAnsi="宋体" w:cs="宋体"/>
          <w:color w:val="auto"/>
          <w:szCs w:val="21"/>
          <w:highlight w:val="none"/>
        </w:rPr>
        <w:t>：</w:t>
      </w:r>
    </w:p>
    <w:p w14:paraId="16E2047E">
      <w:pPr>
        <w:rPr>
          <w:rFonts w:ascii="宋体" w:hAnsi="宋体" w:cs="宋体"/>
          <w:color w:val="auto"/>
          <w:szCs w:val="21"/>
          <w:highlight w:val="none"/>
        </w:rPr>
      </w:pPr>
      <w:r>
        <w:rPr>
          <w:rFonts w:hint="eastAsia" w:ascii="宋体" w:hAnsi="宋体" w:cs="宋体"/>
          <w:color w:val="auto"/>
          <w:szCs w:val="21"/>
          <w:highlight w:val="none"/>
        </w:rPr>
        <w:t xml:space="preserve"> </w:t>
      </w:r>
    </w:p>
    <w:p w14:paraId="459149BB">
      <w:pPr>
        <w:ind w:firstLine="630" w:firstLineChars="300"/>
        <w:rPr>
          <w:rFonts w:ascii="宋体" w:hAnsi="宋体" w:cs="宋体"/>
          <w:color w:val="auto"/>
          <w:szCs w:val="21"/>
          <w:highlight w:val="none"/>
        </w:rPr>
      </w:pPr>
      <w:r>
        <w:rPr>
          <w:rFonts w:hint="eastAsia" w:ascii="宋体" w:hAnsi="宋体" w:cs="宋体"/>
          <w:color w:val="auto"/>
          <w:szCs w:val="21"/>
          <w:highlight w:val="none"/>
        </w:rPr>
        <w:t>问题澄清通知（编号：     ）已收悉，现澄清如下：</w:t>
      </w:r>
    </w:p>
    <w:p w14:paraId="728E703B">
      <w:pPr>
        <w:ind w:firstLine="630" w:firstLineChars="300"/>
        <w:rPr>
          <w:rFonts w:ascii="宋体" w:hAnsi="宋体" w:cs="宋体"/>
          <w:color w:val="auto"/>
          <w:szCs w:val="21"/>
          <w:highlight w:val="none"/>
        </w:rPr>
      </w:pPr>
      <w:r>
        <w:rPr>
          <w:rFonts w:hint="eastAsia" w:ascii="宋体" w:hAnsi="宋体" w:cs="宋体"/>
          <w:color w:val="auto"/>
          <w:szCs w:val="21"/>
          <w:highlight w:val="none"/>
        </w:rPr>
        <w:t>1.</w:t>
      </w:r>
    </w:p>
    <w:p w14:paraId="06C19A89">
      <w:pPr>
        <w:ind w:firstLine="630" w:firstLineChars="300"/>
        <w:rPr>
          <w:rFonts w:ascii="宋体" w:hAnsi="宋体" w:cs="宋体"/>
          <w:color w:val="auto"/>
          <w:szCs w:val="21"/>
          <w:highlight w:val="none"/>
        </w:rPr>
      </w:pPr>
      <w:r>
        <w:rPr>
          <w:rFonts w:hint="eastAsia" w:ascii="宋体" w:hAnsi="宋体" w:cs="宋体"/>
          <w:color w:val="auto"/>
          <w:szCs w:val="21"/>
          <w:highlight w:val="none"/>
        </w:rPr>
        <w:t>2.</w:t>
      </w:r>
    </w:p>
    <w:p w14:paraId="59D88F33">
      <w:pPr>
        <w:ind w:firstLine="420" w:firstLineChars="200"/>
        <w:rPr>
          <w:rFonts w:ascii="宋体" w:hAnsi="宋体" w:cs="宋体"/>
          <w:color w:val="auto"/>
          <w:szCs w:val="21"/>
          <w:highlight w:val="none"/>
        </w:rPr>
      </w:pPr>
      <w:r>
        <w:rPr>
          <w:rFonts w:hint="eastAsia" w:ascii="宋体" w:hAnsi="宋体" w:cs="宋体"/>
          <w:color w:val="auto"/>
          <w:szCs w:val="21"/>
          <w:highlight w:val="none"/>
        </w:rPr>
        <w:t xml:space="preserve">  </w:t>
      </w:r>
    </w:p>
    <w:p w14:paraId="423099E9">
      <w:pPr>
        <w:ind w:firstLine="630" w:firstLineChars="300"/>
        <w:rPr>
          <w:rFonts w:ascii="宋体" w:hAnsi="宋体" w:cs="宋体"/>
          <w:color w:val="auto"/>
          <w:szCs w:val="21"/>
          <w:highlight w:val="none"/>
        </w:rPr>
      </w:pPr>
      <w:r>
        <w:rPr>
          <w:rFonts w:hint="eastAsia" w:ascii="宋体" w:hAnsi="宋体" w:cs="宋体"/>
          <w:color w:val="auto"/>
          <w:szCs w:val="21"/>
          <w:highlight w:val="none"/>
        </w:rPr>
        <w:t>.....</w:t>
      </w:r>
    </w:p>
    <w:p w14:paraId="6EA7B4B3">
      <w:pPr>
        <w:ind w:firstLine="420" w:firstLineChars="200"/>
        <w:rPr>
          <w:rFonts w:ascii="宋体" w:hAnsi="宋体" w:cs="宋体"/>
          <w:color w:val="auto"/>
          <w:szCs w:val="21"/>
          <w:highlight w:val="none"/>
        </w:rPr>
      </w:pPr>
    </w:p>
    <w:p w14:paraId="265F7FA4">
      <w:pPr>
        <w:ind w:right="420"/>
        <w:rPr>
          <w:rFonts w:ascii="宋体" w:hAnsi="宋体" w:cs="宋体"/>
          <w:color w:val="auto"/>
          <w:szCs w:val="21"/>
          <w:highlight w:val="none"/>
        </w:rPr>
      </w:pPr>
    </w:p>
    <w:p w14:paraId="68B4ADD4">
      <w:pPr>
        <w:jc w:val="right"/>
        <w:rPr>
          <w:rFonts w:ascii="宋体" w:hAnsi="宋体" w:cs="宋体"/>
          <w:color w:val="auto"/>
          <w:szCs w:val="21"/>
          <w:highlight w:val="none"/>
        </w:rPr>
      </w:pPr>
      <w:r>
        <w:rPr>
          <w:rFonts w:hint="eastAsia" w:ascii="宋体" w:hAnsi="宋体" w:cs="宋体"/>
          <w:color w:val="auto"/>
          <w:szCs w:val="21"/>
          <w:highlight w:val="none"/>
        </w:rPr>
        <w:t>法定代表人或其委托代理人：</w:t>
      </w:r>
      <w:r>
        <w:rPr>
          <w:rFonts w:hint="eastAsia" w:ascii="宋体" w:hAnsi="宋体" w:cs="宋体"/>
          <w:color w:val="auto"/>
          <w:szCs w:val="21"/>
          <w:highlight w:val="none"/>
          <w:u w:val="single"/>
        </w:rPr>
        <w:t xml:space="preserve">           </w:t>
      </w:r>
      <w:r>
        <w:rPr>
          <w:rFonts w:hint="eastAsia" w:ascii="宋体" w:hAnsi="宋体" w:cs="宋体"/>
          <w:color w:val="auto"/>
          <w:szCs w:val="21"/>
          <w:highlight w:val="none"/>
        </w:rPr>
        <w:t>（签字）</w:t>
      </w:r>
    </w:p>
    <w:p w14:paraId="2859AE04">
      <w:pPr>
        <w:jc w:val="right"/>
        <w:rPr>
          <w:rFonts w:ascii="宋体" w:hAnsi="宋体" w:cs="宋体"/>
          <w:color w:val="auto"/>
          <w:szCs w:val="21"/>
          <w:highlight w:val="none"/>
        </w:rPr>
      </w:pPr>
    </w:p>
    <w:p w14:paraId="781CAA69">
      <w:pPr>
        <w:ind w:firstLine="1470" w:firstLineChars="700"/>
        <w:jc w:val="right"/>
        <w:rPr>
          <w:rFonts w:ascii="宋体" w:hAnsi="宋体" w:cs="宋体"/>
          <w:color w:val="auto"/>
          <w:highlight w:val="none"/>
        </w:rPr>
        <w:sectPr>
          <w:pgSz w:w="11906" w:h="16838"/>
          <w:pgMar w:top="1418" w:right="1134" w:bottom="1134" w:left="1418" w:header="851" w:footer="992" w:gutter="0"/>
          <w:cols w:space="720" w:num="1"/>
          <w:docGrid w:linePitch="312" w:charSpace="0"/>
        </w:sectPr>
      </w:pPr>
      <w:r>
        <w:rPr>
          <w:rFonts w:hint="eastAsia" w:ascii="宋体" w:hAnsi="宋体" w:cs="宋体"/>
          <w:color w:val="auto"/>
          <w:szCs w:val="21"/>
          <w:highlight w:val="none"/>
          <w:u w:val="single"/>
        </w:rPr>
        <w:t xml:space="preserve">       </w:t>
      </w:r>
      <w:r>
        <w:rPr>
          <w:rFonts w:hint="eastAsia" w:ascii="宋体" w:hAnsi="宋体" w:cs="宋体"/>
          <w:color w:val="auto"/>
          <w:szCs w:val="21"/>
          <w:highlight w:val="none"/>
        </w:rPr>
        <w:t>年</w:t>
      </w:r>
      <w:r>
        <w:rPr>
          <w:rFonts w:hint="eastAsia" w:ascii="宋体" w:hAnsi="宋体" w:cs="宋体"/>
          <w:color w:val="auto"/>
          <w:szCs w:val="21"/>
          <w:highlight w:val="none"/>
          <w:u w:val="single"/>
        </w:rPr>
        <w:t xml:space="preserve">      </w:t>
      </w:r>
      <w:r>
        <w:rPr>
          <w:rFonts w:hint="eastAsia" w:ascii="宋体" w:hAnsi="宋体" w:cs="宋体"/>
          <w:color w:val="auto"/>
          <w:szCs w:val="21"/>
          <w:highlight w:val="none"/>
        </w:rPr>
        <w:t>月</w:t>
      </w:r>
      <w:r>
        <w:rPr>
          <w:rFonts w:hint="eastAsia" w:ascii="宋体" w:hAnsi="宋体" w:cs="宋体"/>
          <w:color w:val="auto"/>
          <w:szCs w:val="21"/>
          <w:highlight w:val="none"/>
          <w:u w:val="single"/>
        </w:rPr>
        <w:t xml:space="preserve">    </w:t>
      </w:r>
      <w:r>
        <w:rPr>
          <w:rFonts w:hint="eastAsia" w:ascii="宋体" w:hAnsi="宋体" w:cs="宋体"/>
          <w:color w:val="auto"/>
          <w:szCs w:val="21"/>
          <w:highlight w:val="none"/>
        </w:rPr>
        <w:t>日</w:t>
      </w:r>
      <w:bookmarkEnd w:id="196"/>
      <w:bookmarkStart w:id="197" w:name="_Toc224103383"/>
      <w:bookmarkStart w:id="198" w:name="A14"/>
    </w:p>
    <w:bookmarkEnd w:id="197"/>
    <w:bookmarkEnd w:id="198"/>
    <w:p w14:paraId="2403345E">
      <w:pPr>
        <w:pStyle w:val="3"/>
        <w:spacing w:line="400" w:lineRule="atLeast"/>
        <w:jc w:val="center"/>
        <w:rPr>
          <w:rFonts w:ascii="宋体" w:hAnsi="宋体" w:cs="宋体"/>
          <w:color w:val="auto"/>
          <w:highlight w:val="none"/>
        </w:rPr>
      </w:pPr>
      <w:bookmarkStart w:id="199" w:name="_Toc4477"/>
      <w:bookmarkStart w:id="200" w:name="A17"/>
      <w:r>
        <w:rPr>
          <w:rFonts w:hint="eastAsia" w:ascii="宋体" w:hAnsi="宋体" w:cs="宋体"/>
          <w:color w:val="auto"/>
          <w:highlight w:val="none"/>
        </w:rPr>
        <w:t>第三章  评标办法</w:t>
      </w:r>
      <w:bookmarkStart w:id="201" w:name="A48"/>
      <w:r>
        <w:rPr>
          <w:rFonts w:hint="eastAsia" w:ascii="宋体" w:hAnsi="宋体" w:cs="宋体"/>
          <w:color w:val="auto"/>
          <w:highlight w:val="none"/>
        </w:rPr>
        <w:t>（</w:t>
      </w:r>
      <w:r>
        <w:rPr>
          <w:rFonts w:hint="eastAsia" w:ascii="宋体" w:hAnsi="宋体" w:cs="宋体"/>
          <w:color w:val="auto"/>
          <w:highlight w:val="none"/>
          <w:lang w:val="en-US" w:eastAsia="zh-CN"/>
        </w:rPr>
        <w:t>最低价评审</w:t>
      </w:r>
      <w:r>
        <w:rPr>
          <w:rFonts w:hint="eastAsia" w:ascii="宋体" w:hAnsi="宋体" w:cs="宋体"/>
          <w:color w:val="auto"/>
          <w:highlight w:val="none"/>
        </w:rPr>
        <w:t>法）</w:t>
      </w:r>
      <w:bookmarkEnd w:id="199"/>
    </w:p>
    <w:p w14:paraId="73D1D0C9">
      <w:pPr>
        <w:pStyle w:val="3"/>
        <w:spacing w:line="400" w:lineRule="atLeast"/>
        <w:rPr>
          <w:rFonts w:ascii="宋体" w:hAnsi="宋体" w:cs="宋体"/>
          <w:color w:val="auto"/>
          <w:sz w:val="21"/>
          <w:szCs w:val="21"/>
          <w:highlight w:val="none"/>
        </w:rPr>
      </w:pPr>
      <w:bookmarkStart w:id="202" w:name="_Toc58"/>
      <w:bookmarkStart w:id="203" w:name="_Toc6487"/>
      <w:r>
        <w:rPr>
          <w:rFonts w:hint="eastAsia" w:ascii="宋体" w:hAnsi="宋体" w:cs="宋体"/>
          <w:color w:val="auto"/>
          <w:sz w:val="21"/>
          <w:szCs w:val="21"/>
          <w:highlight w:val="none"/>
        </w:rPr>
        <w:t>评标办法前附表</w:t>
      </w:r>
      <w:bookmarkEnd w:id="202"/>
      <w:bookmarkEnd w:id="203"/>
    </w:p>
    <w:bookmarkEnd w:id="201"/>
    <w:tbl>
      <w:tblPr>
        <w:tblStyle w:val="48"/>
        <w:tblW w:w="9955" w:type="dxa"/>
        <w:tblInd w:w="-176"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5"/>
        <w:gridCol w:w="160"/>
        <w:gridCol w:w="744"/>
        <w:gridCol w:w="2263"/>
        <w:gridCol w:w="5933"/>
      </w:tblGrid>
      <w:tr w14:paraId="5924A0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6" w:hRule="atLeast"/>
        </w:trPr>
        <w:tc>
          <w:tcPr>
            <w:tcW w:w="1759" w:type="dxa"/>
            <w:gridSpan w:val="3"/>
            <w:noWrap w:val="0"/>
            <w:vAlign w:val="center"/>
          </w:tcPr>
          <w:p w14:paraId="761C72AC">
            <w:pPr>
              <w:spacing w:line="320" w:lineRule="exact"/>
              <w:jc w:val="center"/>
              <w:rPr>
                <w:rFonts w:hint="eastAsia" w:ascii="宋体" w:hAnsi="宋体" w:cs="宋体"/>
                <w:b/>
                <w:kern w:val="0"/>
                <w:highlight w:val="none"/>
              </w:rPr>
            </w:pPr>
            <w:r>
              <w:rPr>
                <w:rFonts w:hint="eastAsia" w:ascii="宋体" w:hAnsi="宋体" w:cs="宋体"/>
                <w:b/>
                <w:kern w:val="0"/>
                <w:highlight w:val="none"/>
              </w:rPr>
              <w:t>条款号</w:t>
            </w:r>
          </w:p>
        </w:tc>
        <w:tc>
          <w:tcPr>
            <w:tcW w:w="2263" w:type="dxa"/>
            <w:noWrap w:val="0"/>
            <w:vAlign w:val="center"/>
          </w:tcPr>
          <w:p w14:paraId="3807434F">
            <w:pPr>
              <w:spacing w:line="320" w:lineRule="exact"/>
              <w:jc w:val="center"/>
              <w:rPr>
                <w:rFonts w:hint="eastAsia" w:ascii="宋体" w:hAnsi="宋体" w:cs="宋体"/>
                <w:b/>
                <w:kern w:val="0"/>
                <w:highlight w:val="none"/>
              </w:rPr>
            </w:pPr>
            <w:r>
              <w:rPr>
                <w:rFonts w:hint="eastAsia" w:ascii="宋体" w:hAnsi="宋体" w:cs="宋体"/>
                <w:b/>
                <w:kern w:val="0"/>
                <w:highlight w:val="none"/>
              </w:rPr>
              <w:t>评审因素</w:t>
            </w:r>
          </w:p>
        </w:tc>
        <w:tc>
          <w:tcPr>
            <w:tcW w:w="5933" w:type="dxa"/>
            <w:noWrap w:val="0"/>
            <w:vAlign w:val="center"/>
          </w:tcPr>
          <w:p w14:paraId="43D5E312">
            <w:pPr>
              <w:spacing w:line="320" w:lineRule="exact"/>
              <w:jc w:val="center"/>
              <w:rPr>
                <w:rFonts w:hint="eastAsia" w:ascii="宋体" w:hAnsi="宋体" w:cs="宋体"/>
                <w:b/>
                <w:kern w:val="0"/>
                <w:highlight w:val="none"/>
              </w:rPr>
            </w:pPr>
            <w:r>
              <w:rPr>
                <w:rFonts w:hint="eastAsia" w:ascii="宋体" w:hAnsi="宋体" w:cs="宋体"/>
                <w:b/>
                <w:kern w:val="0"/>
                <w:highlight w:val="none"/>
              </w:rPr>
              <w:t>评审标准</w:t>
            </w:r>
          </w:p>
        </w:tc>
      </w:tr>
      <w:tr w14:paraId="701972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90" w:hRule="atLeast"/>
        </w:trPr>
        <w:tc>
          <w:tcPr>
            <w:tcW w:w="1015" w:type="dxa"/>
            <w:gridSpan w:val="2"/>
            <w:vMerge w:val="restart"/>
            <w:noWrap w:val="0"/>
            <w:vAlign w:val="center"/>
          </w:tcPr>
          <w:p w14:paraId="365872D9">
            <w:pPr>
              <w:spacing w:line="320" w:lineRule="exact"/>
              <w:jc w:val="center"/>
              <w:rPr>
                <w:rFonts w:ascii="宋体" w:hAnsi="宋体"/>
                <w:kern w:val="0"/>
                <w:highlight w:val="none"/>
              </w:rPr>
            </w:pPr>
            <w:r>
              <w:rPr>
                <w:rFonts w:hint="eastAsia" w:ascii="宋体" w:hAnsi="宋体" w:cs="宋体"/>
                <w:kern w:val="0"/>
                <w:highlight w:val="none"/>
              </w:rPr>
              <w:t>2.1.1</w:t>
            </w:r>
          </w:p>
        </w:tc>
        <w:tc>
          <w:tcPr>
            <w:tcW w:w="744" w:type="dxa"/>
            <w:vMerge w:val="restart"/>
            <w:noWrap w:val="0"/>
            <w:textDirection w:val="tbRlV"/>
            <w:vAlign w:val="center"/>
          </w:tcPr>
          <w:p w14:paraId="4D73CE70">
            <w:pPr>
              <w:spacing w:line="320" w:lineRule="exact"/>
              <w:ind w:left="113" w:right="113"/>
              <w:jc w:val="center"/>
              <w:rPr>
                <w:rFonts w:ascii="宋体" w:hAnsi="宋体"/>
                <w:kern w:val="0"/>
                <w:highlight w:val="none"/>
              </w:rPr>
            </w:pPr>
            <w:r>
              <w:rPr>
                <w:rFonts w:hint="eastAsia" w:ascii="宋体" w:hAnsi="宋体" w:cs="宋体"/>
                <w:kern w:val="0"/>
                <w:highlight w:val="none"/>
              </w:rPr>
              <w:t>形式评审标准</w:t>
            </w:r>
          </w:p>
        </w:tc>
        <w:tc>
          <w:tcPr>
            <w:tcW w:w="2263" w:type="dxa"/>
            <w:noWrap w:val="0"/>
            <w:vAlign w:val="center"/>
          </w:tcPr>
          <w:p w14:paraId="73FF56FB">
            <w:pPr>
              <w:spacing w:line="320" w:lineRule="exact"/>
              <w:jc w:val="center"/>
              <w:rPr>
                <w:rFonts w:hint="eastAsia" w:ascii="宋体" w:hAnsi="宋体" w:cs="宋体"/>
                <w:kern w:val="0"/>
                <w:highlight w:val="none"/>
              </w:rPr>
            </w:pPr>
            <w:r>
              <w:rPr>
                <w:rFonts w:hint="eastAsia" w:ascii="宋体" w:hAnsi="宋体" w:cs="宋体"/>
                <w:kern w:val="0"/>
                <w:highlight w:val="none"/>
              </w:rPr>
              <w:t>竞争性比选单位名称</w:t>
            </w:r>
          </w:p>
        </w:tc>
        <w:tc>
          <w:tcPr>
            <w:tcW w:w="5933" w:type="dxa"/>
            <w:noWrap w:val="0"/>
            <w:vAlign w:val="center"/>
          </w:tcPr>
          <w:p w14:paraId="4FCF1C7A">
            <w:pPr>
              <w:spacing w:line="320" w:lineRule="exact"/>
              <w:jc w:val="center"/>
              <w:rPr>
                <w:rFonts w:hint="eastAsia" w:ascii="宋体" w:hAnsi="宋体" w:cs="宋体"/>
                <w:kern w:val="0"/>
                <w:highlight w:val="none"/>
              </w:rPr>
            </w:pPr>
            <w:r>
              <w:rPr>
                <w:rFonts w:hint="eastAsia" w:ascii="宋体" w:hAnsi="宋体" w:cs="宋体"/>
                <w:kern w:val="0"/>
                <w:highlight w:val="none"/>
              </w:rPr>
              <w:t>与营业执照一致</w:t>
            </w:r>
          </w:p>
        </w:tc>
      </w:tr>
      <w:tr w14:paraId="77F601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14" w:hRule="atLeast"/>
        </w:trPr>
        <w:tc>
          <w:tcPr>
            <w:tcW w:w="1015" w:type="dxa"/>
            <w:gridSpan w:val="2"/>
            <w:vMerge w:val="continue"/>
            <w:noWrap w:val="0"/>
            <w:vAlign w:val="top"/>
          </w:tcPr>
          <w:p w14:paraId="34455168">
            <w:pPr>
              <w:spacing w:line="320" w:lineRule="exact"/>
              <w:rPr>
                <w:rFonts w:hint="eastAsia" w:ascii="宋体" w:hAnsi="宋体"/>
                <w:highlight w:val="none"/>
              </w:rPr>
            </w:pPr>
          </w:p>
        </w:tc>
        <w:tc>
          <w:tcPr>
            <w:tcW w:w="744" w:type="dxa"/>
            <w:vMerge w:val="continue"/>
            <w:noWrap w:val="0"/>
            <w:vAlign w:val="top"/>
          </w:tcPr>
          <w:p w14:paraId="2E154566">
            <w:pPr>
              <w:spacing w:line="320" w:lineRule="exact"/>
              <w:rPr>
                <w:rFonts w:hint="eastAsia" w:ascii="宋体" w:hAnsi="宋体"/>
                <w:highlight w:val="none"/>
              </w:rPr>
            </w:pPr>
          </w:p>
        </w:tc>
        <w:tc>
          <w:tcPr>
            <w:tcW w:w="2263" w:type="dxa"/>
            <w:noWrap w:val="0"/>
            <w:vAlign w:val="center"/>
          </w:tcPr>
          <w:p w14:paraId="5359DFF9">
            <w:pPr>
              <w:spacing w:line="320" w:lineRule="exact"/>
              <w:jc w:val="center"/>
              <w:rPr>
                <w:rFonts w:hint="eastAsia" w:ascii="宋体" w:hAnsi="宋体" w:cs="宋体"/>
                <w:kern w:val="0"/>
                <w:highlight w:val="none"/>
              </w:rPr>
            </w:pPr>
            <w:r>
              <w:rPr>
                <w:rFonts w:hint="eastAsia" w:ascii="宋体" w:hAnsi="宋体" w:cs="宋体"/>
                <w:kern w:val="0"/>
                <w:highlight w:val="none"/>
              </w:rPr>
              <w:t>投标函部分签字盖章</w:t>
            </w:r>
          </w:p>
        </w:tc>
        <w:tc>
          <w:tcPr>
            <w:tcW w:w="5933" w:type="dxa"/>
            <w:noWrap w:val="0"/>
            <w:vAlign w:val="center"/>
          </w:tcPr>
          <w:p w14:paraId="5B5439F9">
            <w:pPr>
              <w:spacing w:line="320" w:lineRule="exact"/>
              <w:jc w:val="center"/>
              <w:rPr>
                <w:rFonts w:hint="eastAsia" w:ascii="宋体" w:hAnsi="宋体" w:cs="宋体"/>
                <w:kern w:val="0"/>
                <w:highlight w:val="none"/>
              </w:rPr>
            </w:pPr>
            <w:r>
              <w:rPr>
                <w:rFonts w:hint="eastAsia" w:ascii="宋体" w:hAnsi="宋体" w:cs="宋体"/>
                <w:kern w:val="0"/>
                <w:highlight w:val="none"/>
              </w:rPr>
              <w:t xml:space="preserve"> 有法定代表人或其委托代理人签字、加盖单位公章</w:t>
            </w:r>
          </w:p>
        </w:tc>
      </w:tr>
      <w:tr w14:paraId="5C494D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321" w:hRule="atLeast"/>
        </w:trPr>
        <w:tc>
          <w:tcPr>
            <w:tcW w:w="1015" w:type="dxa"/>
            <w:gridSpan w:val="2"/>
            <w:vMerge w:val="continue"/>
            <w:noWrap w:val="0"/>
            <w:vAlign w:val="top"/>
          </w:tcPr>
          <w:p w14:paraId="66EEA497">
            <w:pPr>
              <w:spacing w:line="320" w:lineRule="exact"/>
              <w:rPr>
                <w:rFonts w:hint="eastAsia" w:ascii="宋体" w:hAnsi="宋体"/>
                <w:highlight w:val="none"/>
              </w:rPr>
            </w:pPr>
          </w:p>
        </w:tc>
        <w:tc>
          <w:tcPr>
            <w:tcW w:w="744" w:type="dxa"/>
            <w:vMerge w:val="continue"/>
            <w:noWrap w:val="0"/>
            <w:vAlign w:val="top"/>
          </w:tcPr>
          <w:p w14:paraId="4FF8A6DD">
            <w:pPr>
              <w:spacing w:line="320" w:lineRule="exact"/>
              <w:rPr>
                <w:rFonts w:hint="eastAsia" w:ascii="宋体" w:hAnsi="宋体"/>
                <w:highlight w:val="none"/>
              </w:rPr>
            </w:pPr>
          </w:p>
        </w:tc>
        <w:tc>
          <w:tcPr>
            <w:tcW w:w="2263" w:type="dxa"/>
            <w:noWrap w:val="0"/>
            <w:vAlign w:val="center"/>
          </w:tcPr>
          <w:p w14:paraId="762050DF">
            <w:pPr>
              <w:spacing w:line="320" w:lineRule="exact"/>
              <w:jc w:val="center"/>
              <w:rPr>
                <w:rFonts w:hint="eastAsia" w:ascii="宋体" w:hAnsi="宋体" w:cs="宋体"/>
                <w:kern w:val="0"/>
                <w:highlight w:val="none"/>
              </w:rPr>
            </w:pPr>
            <w:r>
              <w:rPr>
                <w:rFonts w:hint="eastAsia" w:ascii="宋体" w:hAnsi="宋体" w:cs="宋体"/>
                <w:kern w:val="0"/>
                <w:highlight w:val="none"/>
              </w:rPr>
              <w:t>投标文件格式</w:t>
            </w:r>
          </w:p>
        </w:tc>
        <w:tc>
          <w:tcPr>
            <w:tcW w:w="5933" w:type="dxa"/>
            <w:noWrap w:val="0"/>
            <w:vAlign w:val="center"/>
          </w:tcPr>
          <w:p w14:paraId="7A4313F3">
            <w:pPr>
              <w:spacing w:before="120" w:beforeLines="50" w:line="320" w:lineRule="exact"/>
              <w:ind w:firstLine="420" w:firstLineChars="200"/>
              <w:rPr>
                <w:rFonts w:hint="eastAsia" w:ascii="宋体" w:hAnsi="宋体" w:cs="宋体"/>
                <w:kern w:val="0"/>
                <w:highlight w:val="none"/>
              </w:rPr>
            </w:pPr>
            <w:r>
              <w:rPr>
                <w:rFonts w:hint="eastAsia" w:ascii="宋体" w:hAnsi="宋体" w:cs="宋体"/>
                <w:kern w:val="0"/>
                <w:highlight w:val="none"/>
              </w:rPr>
              <w:t>符合第七章“投标文件格式”的要求，字迹清晰可辨。</w:t>
            </w:r>
          </w:p>
          <w:p w14:paraId="78D6C574">
            <w:pPr>
              <w:spacing w:before="120" w:beforeLines="50" w:line="320" w:lineRule="exact"/>
              <w:ind w:firstLine="420" w:firstLineChars="200"/>
              <w:rPr>
                <w:rFonts w:hint="eastAsia" w:ascii="宋体" w:hAnsi="宋体" w:cs="宋体"/>
                <w:kern w:val="0"/>
                <w:highlight w:val="none"/>
              </w:rPr>
            </w:pPr>
            <w:r>
              <w:rPr>
                <w:rFonts w:hint="eastAsia" w:ascii="宋体" w:hAnsi="宋体" w:cs="宋体"/>
                <w:kern w:val="0"/>
                <w:highlight w:val="none"/>
              </w:rPr>
              <w:t>1.投标函的所有数据均符合比选文件的规定；</w:t>
            </w:r>
          </w:p>
          <w:p w14:paraId="137947F1">
            <w:pPr>
              <w:spacing w:before="120" w:beforeLines="50" w:line="320" w:lineRule="exact"/>
              <w:ind w:firstLine="378" w:firstLineChars="180"/>
              <w:rPr>
                <w:rFonts w:hint="eastAsia" w:ascii="宋体" w:hAnsi="宋体" w:cs="宋体"/>
                <w:kern w:val="0"/>
                <w:highlight w:val="none"/>
              </w:rPr>
            </w:pPr>
            <w:r>
              <w:rPr>
                <w:rFonts w:hint="eastAsia" w:ascii="宋体" w:hAnsi="宋体" w:cs="宋体"/>
                <w:kern w:val="0"/>
                <w:highlight w:val="none"/>
              </w:rPr>
              <w:t>2.投标文件附表齐全完整，内容均按规定填写；</w:t>
            </w:r>
          </w:p>
          <w:p w14:paraId="6A0CBEAD">
            <w:pPr>
              <w:spacing w:before="120" w:beforeLines="50" w:line="320" w:lineRule="exact"/>
              <w:ind w:firstLine="380" w:firstLineChars="181"/>
              <w:rPr>
                <w:rFonts w:hint="eastAsia" w:ascii="宋体" w:hAnsi="宋体" w:cs="宋体"/>
                <w:kern w:val="0"/>
                <w:highlight w:val="none"/>
              </w:rPr>
            </w:pPr>
            <w:r>
              <w:rPr>
                <w:rFonts w:hint="eastAsia" w:ascii="宋体" w:hAnsi="宋体" w:cs="宋体"/>
                <w:kern w:val="0"/>
                <w:highlight w:val="none"/>
              </w:rPr>
              <w:t xml:space="preserve">3.按规定提供了拟投入的主要人员的证件复印件，证件清晰可辨、有效； </w:t>
            </w:r>
          </w:p>
          <w:p w14:paraId="5B70E1C1">
            <w:pPr>
              <w:spacing w:before="120" w:beforeLines="50" w:line="320" w:lineRule="exact"/>
              <w:ind w:firstLine="380" w:firstLineChars="181"/>
              <w:rPr>
                <w:rFonts w:hint="eastAsia" w:ascii="宋体" w:hAnsi="宋体" w:cs="宋体"/>
                <w:kern w:val="0"/>
                <w:highlight w:val="none"/>
              </w:rPr>
            </w:pPr>
            <w:r>
              <w:rPr>
                <w:rFonts w:hint="eastAsia" w:ascii="宋体" w:hAnsi="宋体" w:cs="宋体"/>
                <w:kern w:val="0"/>
                <w:highlight w:val="none"/>
              </w:rPr>
              <w:t>4.投标文件的装订符合第二章的规定。</w:t>
            </w:r>
          </w:p>
        </w:tc>
      </w:tr>
      <w:tr w14:paraId="25E20D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49" w:hRule="atLeast"/>
        </w:trPr>
        <w:tc>
          <w:tcPr>
            <w:tcW w:w="1015" w:type="dxa"/>
            <w:gridSpan w:val="2"/>
            <w:vMerge w:val="continue"/>
            <w:noWrap w:val="0"/>
            <w:vAlign w:val="top"/>
          </w:tcPr>
          <w:p w14:paraId="2EC3AF41">
            <w:pPr>
              <w:spacing w:line="320" w:lineRule="exact"/>
              <w:rPr>
                <w:rFonts w:hint="eastAsia" w:ascii="宋体" w:hAnsi="宋体"/>
                <w:highlight w:val="none"/>
              </w:rPr>
            </w:pPr>
          </w:p>
        </w:tc>
        <w:tc>
          <w:tcPr>
            <w:tcW w:w="744" w:type="dxa"/>
            <w:vMerge w:val="continue"/>
            <w:noWrap w:val="0"/>
            <w:vAlign w:val="top"/>
          </w:tcPr>
          <w:p w14:paraId="01D4140E">
            <w:pPr>
              <w:spacing w:line="320" w:lineRule="exact"/>
              <w:rPr>
                <w:rFonts w:hint="eastAsia" w:ascii="宋体" w:hAnsi="宋体"/>
                <w:highlight w:val="none"/>
              </w:rPr>
            </w:pPr>
          </w:p>
        </w:tc>
        <w:tc>
          <w:tcPr>
            <w:tcW w:w="2263" w:type="dxa"/>
            <w:noWrap w:val="0"/>
            <w:vAlign w:val="center"/>
          </w:tcPr>
          <w:p w14:paraId="76E2330F">
            <w:pPr>
              <w:spacing w:before="120" w:beforeLines="50" w:line="320" w:lineRule="exact"/>
              <w:ind w:firstLine="735" w:firstLineChars="350"/>
              <w:rPr>
                <w:rFonts w:hint="eastAsia" w:ascii="宋体" w:hAnsi="宋体" w:cs="宋体"/>
                <w:kern w:val="0"/>
                <w:highlight w:val="none"/>
              </w:rPr>
            </w:pPr>
            <w:r>
              <w:rPr>
                <w:rFonts w:hint="eastAsia" w:ascii="宋体" w:hAnsi="宋体" w:cs="宋体"/>
                <w:kern w:val="0"/>
                <w:highlight w:val="none"/>
              </w:rPr>
              <w:t>报价唯一</w:t>
            </w:r>
          </w:p>
        </w:tc>
        <w:tc>
          <w:tcPr>
            <w:tcW w:w="5933" w:type="dxa"/>
            <w:noWrap w:val="0"/>
            <w:vAlign w:val="center"/>
          </w:tcPr>
          <w:p w14:paraId="4686F8C3">
            <w:pPr>
              <w:spacing w:before="120" w:beforeLines="50" w:line="320" w:lineRule="exact"/>
              <w:ind w:firstLine="420" w:firstLineChars="200"/>
              <w:rPr>
                <w:rFonts w:hint="eastAsia" w:ascii="宋体" w:hAnsi="宋体" w:cs="宋体"/>
                <w:kern w:val="0"/>
                <w:highlight w:val="none"/>
              </w:rPr>
            </w:pPr>
            <w:r>
              <w:rPr>
                <w:rFonts w:hint="eastAsia" w:ascii="宋体" w:hAnsi="宋体" w:cs="宋体"/>
                <w:kern w:val="0"/>
                <w:highlight w:val="none"/>
              </w:rPr>
              <w:t>只能有一个有效报价，不得提交选择性报价。</w:t>
            </w:r>
          </w:p>
        </w:tc>
      </w:tr>
      <w:tr w14:paraId="458871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10" w:hRule="atLeast"/>
        </w:trPr>
        <w:tc>
          <w:tcPr>
            <w:tcW w:w="1015" w:type="dxa"/>
            <w:gridSpan w:val="2"/>
            <w:vMerge w:val="continue"/>
            <w:noWrap w:val="0"/>
            <w:vAlign w:val="top"/>
          </w:tcPr>
          <w:p w14:paraId="6DFE6902">
            <w:pPr>
              <w:spacing w:line="320" w:lineRule="exact"/>
              <w:rPr>
                <w:rFonts w:hint="eastAsia" w:ascii="宋体" w:hAnsi="宋体"/>
                <w:highlight w:val="none"/>
              </w:rPr>
            </w:pPr>
          </w:p>
        </w:tc>
        <w:tc>
          <w:tcPr>
            <w:tcW w:w="744" w:type="dxa"/>
            <w:vMerge w:val="continue"/>
            <w:noWrap w:val="0"/>
            <w:vAlign w:val="top"/>
          </w:tcPr>
          <w:p w14:paraId="6C3957A9">
            <w:pPr>
              <w:spacing w:line="320" w:lineRule="exact"/>
              <w:rPr>
                <w:rFonts w:hint="eastAsia" w:ascii="宋体" w:hAnsi="宋体"/>
                <w:highlight w:val="none"/>
              </w:rPr>
            </w:pPr>
          </w:p>
        </w:tc>
        <w:tc>
          <w:tcPr>
            <w:tcW w:w="2263" w:type="dxa"/>
            <w:noWrap w:val="0"/>
            <w:vAlign w:val="center"/>
          </w:tcPr>
          <w:p w14:paraId="3BD0E700">
            <w:pPr>
              <w:spacing w:line="320" w:lineRule="exact"/>
              <w:jc w:val="center"/>
              <w:rPr>
                <w:rFonts w:ascii="宋体" w:hAnsi="宋体" w:cs="宋体"/>
                <w:kern w:val="0"/>
                <w:highlight w:val="none"/>
              </w:rPr>
            </w:pPr>
            <w:r>
              <w:rPr>
                <w:rFonts w:hint="eastAsia" w:ascii="宋体" w:hAnsi="宋体" w:cs="宋体"/>
                <w:kern w:val="0"/>
                <w:highlight w:val="none"/>
              </w:rPr>
              <w:t>投标文件的签署</w:t>
            </w:r>
          </w:p>
        </w:tc>
        <w:tc>
          <w:tcPr>
            <w:tcW w:w="5933" w:type="dxa"/>
            <w:noWrap w:val="0"/>
            <w:vAlign w:val="center"/>
          </w:tcPr>
          <w:p w14:paraId="25C1EE65">
            <w:pPr>
              <w:spacing w:before="120" w:beforeLines="50" w:line="320" w:lineRule="exact"/>
              <w:ind w:firstLine="420" w:firstLineChars="200"/>
              <w:rPr>
                <w:rFonts w:hint="eastAsia" w:ascii="宋体" w:hAnsi="宋体" w:cs="宋体"/>
                <w:kern w:val="0"/>
                <w:highlight w:val="none"/>
              </w:rPr>
            </w:pPr>
            <w:r>
              <w:rPr>
                <w:rFonts w:hint="eastAsia" w:ascii="宋体" w:hAnsi="宋体" w:cs="宋体"/>
                <w:kern w:val="0"/>
                <w:highlight w:val="none"/>
              </w:rPr>
              <w:t>投标文件上法定代表人或其授权代理人的签字齐全，且符合比选文件规定。</w:t>
            </w:r>
          </w:p>
        </w:tc>
      </w:tr>
      <w:tr w14:paraId="11C8CA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84" w:hRule="atLeast"/>
        </w:trPr>
        <w:tc>
          <w:tcPr>
            <w:tcW w:w="1015" w:type="dxa"/>
            <w:gridSpan w:val="2"/>
            <w:vMerge w:val="continue"/>
            <w:noWrap w:val="0"/>
            <w:vAlign w:val="top"/>
          </w:tcPr>
          <w:p w14:paraId="1330111B">
            <w:pPr>
              <w:spacing w:line="320" w:lineRule="exact"/>
              <w:rPr>
                <w:rFonts w:hint="eastAsia" w:ascii="宋体" w:hAnsi="宋体"/>
                <w:highlight w:val="none"/>
              </w:rPr>
            </w:pPr>
          </w:p>
        </w:tc>
        <w:tc>
          <w:tcPr>
            <w:tcW w:w="744" w:type="dxa"/>
            <w:vMerge w:val="continue"/>
            <w:noWrap w:val="0"/>
            <w:vAlign w:val="top"/>
          </w:tcPr>
          <w:p w14:paraId="166B05E6">
            <w:pPr>
              <w:spacing w:line="320" w:lineRule="exact"/>
              <w:rPr>
                <w:rFonts w:hint="eastAsia" w:ascii="宋体" w:hAnsi="宋体"/>
                <w:highlight w:val="none"/>
              </w:rPr>
            </w:pPr>
          </w:p>
        </w:tc>
        <w:tc>
          <w:tcPr>
            <w:tcW w:w="2263" w:type="dxa"/>
            <w:noWrap w:val="0"/>
            <w:vAlign w:val="center"/>
          </w:tcPr>
          <w:p w14:paraId="66E87C43">
            <w:pPr>
              <w:spacing w:line="320" w:lineRule="exact"/>
              <w:jc w:val="center"/>
              <w:rPr>
                <w:rFonts w:hint="eastAsia" w:ascii="宋体" w:hAnsi="宋体"/>
                <w:kern w:val="0"/>
                <w:highlight w:val="none"/>
              </w:rPr>
            </w:pPr>
            <w:r>
              <w:rPr>
                <w:rFonts w:hint="eastAsia" w:ascii="宋体" w:hAnsi="宋体"/>
                <w:kern w:val="0"/>
                <w:highlight w:val="none"/>
              </w:rPr>
              <w:t>法定代表人</w:t>
            </w:r>
          </w:p>
          <w:p w14:paraId="1BE15E9F">
            <w:pPr>
              <w:spacing w:line="320" w:lineRule="exact"/>
              <w:jc w:val="center"/>
              <w:rPr>
                <w:rFonts w:ascii="宋体" w:hAnsi="宋体" w:cs="宋体"/>
                <w:kern w:val="0"/>
                <w:highlight w:val="none"/>
              </w:rPr>
            </w:pPr>
            <w:r>
              <w:rPr>
                <w:rFonts w:hint="eastAsia" w:ascii="宋体" w:hAnsi="宋体"/>
                <w:kern w:val="0"/>
                <w:highlight w:val="none"/>
              </w:rPr>
              <w:t>或委托代理人</w:t>
            </w:r>
          </w:p>
        </w:tc>
        <w:tc>
          <w:tcPr>
            <w:tcW w:w="5933" w:type="dxa"/>
            <w:noWrap w:val="0"/>
            <w:vAlign w:val="top"/>
          </w:tcPr>
          <w:p w14:paraId="79D54EA0">
            <w:pPr>
              <w:spacing w:before="120" w:beforeLines="50" w:line="320" w:lineRule="exact"/>
              <w:ind w:firstLine="420" w:firstLineChars="200"/>
              <w:jc w:val="left"/>
              <w:rPr>
                <w:rFonts w:hint="eastAsia" w:ascii="宋体" w:hAnsi="宋体" w:cs="宋体"/>
                <w:kern w:val="0"/>
                <w:highlight w:val="none"/>
              </w:rPr>
            </w:pPr>
            <w:r>
              <w:rPr>
                <w:rFonts w:hint="eastAsia" w:ascii="宋体" w:hAnsi="宋体" w:cs="宋体"/>
                <w:kern w:val="0"/>
                <w:highlight w:val="none"/>
              </w:rPr>
              <w:t>竞争性比选单位的法定代表人有法定代表人身份证明书，且其身份证明书符合比选文件规定的格式，竞争性比选单位法定代表人的委托代理人有法定代表人签署的授权委托书，且其授权委托书符合比选文件规定的格式。</w:t>
            </w:r>
          </w:p>
        </w:tc>
      </w:tr>
      <w:tr w14:paraId="473468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83" w:hRule="atLeast"/>
        </w:trPr>
        <w:tc>
          <w:tcPr>
            <w:tcW w:w="1015" w:type="dxa"/>
            <w:gridSpan w:val="2"/>
            <w:vMerge w:val="restart"/>
            <w:noWrap w:val="0"/>
            <w:vAlign w:val="center"/>
          </w:tcPr>
          <w:p w14:paraId="77EF31B8">
            <w:pPr>
              <w:spacing w:line="320" w:lineRule="exact"/>
              <w:jc w:val="center"/>
              <w:rPr>
                <w:rFonts w:ascii="宋体" w:hAnsi="宋体" w:cs="宋体"/>
                <w:kern w:val="0"/>
                <w:highlight w:val="none"/>
              </w:rPr>
            </w:pPr>
            <w:r>
              <w:rPr>
                <w:rFonts w:hint="eastAsia" w:ascii="宋体" w:hAnsi="宋体" w:cs="宋体"/>
                <w:kern w:val="0"/>
                <w:highlight w:val="none"/>
              </w:rPr>
              <w:t>2.1.2</w:t>
            </w:r>
          </w:p>
        </w:tc>
        <w:tc>
          <w:tcPr>
            <w:tcW w:w="744" w:type="dxa"/>
            <w:vMerge w:val="restart"/>
            <w:noWrap w:val="0"/>
            <w:textDirection w:val="tbRlV"/>
            <w:vAlign w:val="center"/>
          </w:tcPr>
          <w:p w14:paraId="7692EF94">
            <w:pPr>
              <w:spacing w:line="320" w:lineRule="exact"/>
              <w:ind w:left="113" w:right="113"/>
              <w:jc w:val="center"/>
              <w:rPr>
                <w:rFonts w:ascii="宋体" w:hAnsi="宋体"/>
                <w:kern w:val="0"/>
                <w:highlight w:val="none"/>
              </w:rPr>
            </w:pPr>
            <w:r>
              <w:rPr>
                <w:rFonts w:hint="eastAsia" w:ascii="宋体" w:hAnsi="宋体" w:cs="宋体"/>
                <w:kern w:val="0"/>
                <w:highlight w:val="none"/>
              </w:rPr>
              <w:t>资格评审标准</w:t>
            </w:r>
          </w:p>
        </w:tc>
        <w:tc>
          <w:tcPr>
            <w:tcW w:w="2263" w:type="dxa"/>
            <w:noWrap w:val="0"/>
            <w:vAlign w:val="center"/>
          </w:tcPr>
          <w:p w14:paraId="4ECAA6D1">
            <w:pPr>
              <w:spacing w:line="320" w:lineRule="exact"/>
              <w:jc w:val="center"/>
              <w:rPr>
                <w:rFonts w:hint="eastAsia" w:ascii="宋体" w:hAnsi="宋体" w:cs="宋体"/>
                <w:kern w:val="0"/>
                <w:szCs w:val="21"/>
                <w:highlight w:val="none"/>
              </w:rPr>
            </w:pPr>
            <w:r>
              <w:rPr>
                <w:rFonts w:hint="eastAsia" w:ascii="宋体" w:hAnsi="宋体" w:cs="宋体"/>
                <w:kern w:val="0"/>
                <w:szCs w:val="21"/>
                <w:highlight w:val="none"/>
              </w:rPr>
              <w:t>营业执照</w:t>
            </w:r>
          </w:p>
        </w:tc>
        <w:tc>
          <w:tcPr>
            <w:tcW w:w="5933" w:type="dxa"/>
            <w:noWrap w:val="0"/>
            <w:vAlign w:val="center"/>
          </w:tcPr>
          <w:p w14:paraId="0BF401EC">
            <w:pPr>
              <w:autoSpaceDE w:val="0"/>
              <w:autoSpaceDN w:val="0"/>
              <w:adjustRightInd w:val="0"/>
              <w:spacing w:line="320" w:lineRule="exact"/>
              <w:ind w:firstLine="420" w:firstLineChars="200"/>
              <w:rPr>
                <w:rFonts w:hint="eastAsia" w:ascii="宋体" w:hAnsi="宋体" w:cs="宋体"/>
                <w:kern w:val="0"/>
                <w:szCs w:val="21"/>
                <w:highlight w:val="none"/>
              </w:rPr>
            </w:pPr>
            <w:r>
              <w:rPr>
                <w:rFonts w:ascii="宋体" w:hAnsi="宋体"/>
                <w:szCs w:val="21"/>
                <w:highlight w:val="none"/>
              </w:rPr>
              <w:t>符合第</w:t>
            </w:r>
            <w:r>
              <w:rPr>
                <w:rFonts w:hint="eastAsia" w:ascii="宋体" w:hAnsi="宋体"/>
                <w:szCs w:val="21"/>
                <w:highlight w:val="none"/>
              </w:rPr>
              <w:t>二</w:t>
            </w:r>
            <w:r>
              <w:rPr>
                <w:rFonts w:ascii="宋体" w:hAnsi="宋体"/>
                <w:szCs w:val="21"/>
                <w:highlight w:val="none"/>
              </w:rPr>
              <w:t>章“竞争性比选单位须知”</w:t>
            </w:r>
            <w:r>
              <w:rPr>
                <w:rFonts w:hint="eastAsia" w:ascii="宋体" w:hAnsi="宋体"/>
                <w:szCs w:val="21"/>
                <w:highlight w:val="none"/>
              </w:rPr>
              <w:t>前附表</w:t>
            </w:r>
            <w:r>
              <w:rPr>
                <w:rFonts w:hint="eastAsia" w:ascii="宋体" w:hAnsi="宋体" w:cs="宋体"/>
                <w:kern w:val="0"/>
                <w:szCs w:val="21"/>
                <w:highlight w:val="none"/>
              </w:rPr>
              <w:t>规定</w:t>
            </w:r>
          </w:p>
        </w:tc>
      </w:tr>
      <w:tr w14:paraId="6DFDAE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15" w:hRule="atLeast"/>
        </w:trPr>
        <w:tc>
          <w:tcPr>
            <w:tcW w:w="1015" w:type="dxa"/>
            <w:gridSpan w:val="2"/>
            <w:vMerge w:val="continue"/>
            <w:noWrap w:val="0"/>
            <w:vAlign w:val="top"/>
          </w:tcPr>
          <w:p w14:paraId="333E7E40">
            <w:pPr>
              <w:spacing w:line="320" w:lineRule="exact"/>
              <w:rPr>
                <w:rFonts w:hint="eastAsia" w:ascii="宋体" w:hAnsi="宋体"/>
                <w:highlight w:val="none"/>
              </w:rPr>
            </w:pPr>
          </w:p>
        </w:tc>
        <w:tc>
          <w:tcPr>
            <w:tcW w:w="744" w:type="dxa"/>
            <w:vMerge w:val="continue"/>
            <w:noWrap w:val="0"/>
            <w:vAlign w:val="top"/>
          </w:tcPr>
          <w:p w14:paraId="6D344EAD">
            <w:pPr>
              <w:spacing w:line="320" w:lineRule="exact"/>
              <w:rPr>
                <w:rFonts w:hint="eastAsia" w:ascii="宋体" w:hAnsi="宋体"/>
                <w:highlight w:val="none"/>
              </w:rPr>
            </w:pPr>
          </w:p>
        </w:tc>
        <w:tc>
          <w:tcPr>
            <w:tcW w:w="2263" w:type="dxa"/>
            <w:noWrap w:val="0"/>
            <w:vAlign w:val="center"/>
          </w:tcPr>
          <w:p w14:paraId="118E3B56">
            <w:pPr>
              <w:spacing w:line="320" w:lineRule="exact"/>
              <w:jc w:val="center"/>
              <w:rPr>
                <w:rFonts w:hint="eastAsia" w:ascii="宋体" w:hAnsi="宋体" w:cs="宋体"/>
                <w:kern w:val="0"/>
                <w:szCs w:val="21"/>
                <w:highlight w:val="none"/>
              </w:rPr>
            </w:pPr>
            <w:r>
              <w:rPr>
                <w:rFonts w:hint="eastAsia" w:ascii="宋体" w:hAnsi="宋体" w:cs="MingLiU"/>
                <w:kern w:val="0"/>
                <w:szCs w:val="21"/>
                <w:highlight w:val="none"/>
              </w:rPr>
              <w:t>安全生产许可证</w:t>
            </w:r>
          </w:p>
        </w:tc>
        <w:tc>
          <w:tcPr>
            <w:tcW w:w="5933" w:type="dxa"/>
            <w:noWrap w:val="0"/>
            <w:vAlign w:val="center"/>
          </w:tcPr>
          <w:p w14:paraId="6105FED6">
            <w:pPr>
              <w:spacing w:line="320" w:lineRule="exact"/>
              <w:ind w:firstLine="420" w:firstLineChars="200"/>
              <w:rPr>
                <w:rFonts w:ascii="宋体" w:hAnsi="宋体"/>
                <w:szCs w:val="21"/>
                <w:highlight w:val="none"/>
              </w:rPr>
            </w:pPr>
            <w:r>
              <w:rPr>
                <w:rFonts w:ascii="宋体" w:hAnsi="宋体"/>
                <w:szCs w:val="21"/>
                <w:highlight w:val="none"/>
              </w:rPr>
              <w:t>符合第</w:t>
            </w:r>
            <w:r>
              <w:rPr>
                <w:rFonts w:hint="eastAsia" w:ascii="宋体" w:hAnsi="宋体"/>
                <w:szCs w:val="21"/>
                <w:highlight w:val="none"/>
              </w:rPr>
              <w:t>二</w:t>
            </w:r>
            <w:r>
              <w:rPr>
                <w:rFonts w:ascii="宋体" w:hAnsi="宋体"/>
                <w:szCs w:val="21"/>
                <w:highlight w:val="none"/>
              </w:rPr>
              <w:t>章“竞争性比选单位须知”</w:t>
            </w:r>
            <w:r>
              <w:rPr>
                <w:rFonts w:hint="eastAsia" w:ascii="宋体" w:hAnsi="宋体"/>
                <w:szCs w:val="21"/>
                <w:highlight w:val="none"/>
              </w:rPr>
              <w:t xml:space="preserve"> 前附表</w:t>
            </w:r>
            <w:r>
              <w:rPr>
                <w:rFonts w:hint="eastAsia" w:ascii="宋体" w:hAnsi="宋体" w:cs="宋体"/>
                <w:kern w:val="0"/>
                <w:szCs w:val="21"/>
                <w:highlight w:val="none"/>
              </w:rPr>
              <w:t>规定</w:t>
            </w:r>
          </w:p>
        </w:tc>
      </w:tr>
      <w:tr w14:paraId="50C2F4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15" w:hRule="atLeast"/>
        </w:trPr>
        <w:tc>
          <w:tcPr>
            <w:tcW w:w="1015" w:type="dxa"/>
            <w:gridSpan w:val="2"/>
            <w:vMerge w:val="continue"/>
            <w:noWrap w:val="0"/>
            <w:vAlign w:val="top"/>
          </w:tcPr>
          <w:p w14:paraId="04963B62">
            <w:pPr>
              <w:spacing w:line="320" w:lineRule="exact"/>
              <w:rPr>
                <w:rFonts w:hint="eastAsia" w:ascii="宋体" w:hAnsi="宋体"/>
                <w:highlight w:val="none"/>
              </w:rPr>
            </w:pPr>
          </w:p>
        </w:tc>
        <w:tc>
          <w:tcPr>
            <w:tcW w:w="744" w:type="dxa"/>
            <w:vMerge w:val="continue"/>
            <w:noWrap w:val="0"/>
            <w:vAlign w:val="top"/>
          </w:tcPr>
          <w:p w14:paraId="3EF59CF3">
            <w:pPr>
              <w:spacing w:line="320" w:lineRule="exact"/>
              <w:rPr>
                <w:rFonts w:hint="eastAsia" w:ascii="宋体" w:hAnsi="宋体"/>
                <w:highlight w:val="none"/>
              </w:rPr>
            </w:pPr>
          </w:p>
        </w:tc>
        <w:tc>
          <w:tcPr>
            <w:tcW w:w="2263" w:type="dxa"/>
            <w:noWrap w:val="0"/>
            <w:vAlign w:val="center"/>
          </w:tcPr>
          <w:p w14:paraId="58944B73">
            <w:pPr>
              <w:spacing w:line="320" w:lineRule="exact"/>
              <w:jc w:val="center"/>
              <w:rPr>
                <w:rFonts w:hint="eastAsia" w:ascii="宋体" w:hAnsi="宋体" w:cs="宋体"/>
                <w:kern w:val="0"/>
                <w:szCs w:val="21"/>
                <w:highlight w:val="none"/>
              </w:rPr>
            </w:pPr>
            <w:r>
              <w:rPr>
                <w:rFonts w:hint="eastAsia" w:ascii="宋体" w:hAnsi="宋体" w:cs="宋体"/>
                <w:kern w:val="0"/>
                <w:szCs w:val="21"/>
                <w:highlight w:val="none"/>
              </w:rPr>
              <w:t>资质等级</w:t>
            </w:r>
          </w:p>
        </w:tc>
        <w:tc>
          <w:tcPr>
            <w:tcW w:w="5933" w:type="dxa"/>
            <w:noWrap w:val="0"/>
            <w:vAlign w:val="center"/>
          </w:tcPr>
          <w:p w14:paraId="67761FEF">
            <w:pPr>
              <w:spacing w:line="320" w:lineRule="exact"/>
              <w:ind w:firstLine="420" w:firstLineChars="200"/>
              <w:rPr>
                <w:rFonts w:ascii="宋体" w:hAnsi="宋体"/>
                <w:szCs w:val="21"/>
                <w:highlight w:val="none"/>
              </w:rPr>
            </w:pPr>
            <w:r>
              <w:rPr>
                <w:rFonts w:ascii="宋体" w:hAnsi="宋体"/>
                <w:szCs w:val="21"/>
                <w:highlight w:val="none"/>
              </w:rPr>
              <w:t>符合第</w:t>
            </w:r>
            <w:r>
              <w:rPr>
                <w:rFonts w:hint="eastAsia" w:ascii="宋体" w:hAnsi="宋体"/>
                <w:szCs w:val="21"/>
                <w:highlight w:val="none"/>
              </w:rPr>
              <w:t>二</w:t>
            </w:r>
            <w:r>
              <w:rPr>
                <w:rFonts w:ascii="宋体" w:hAnsi="宋体"/>
                <w:szCs w:val="21"/>
                <w:highlight w:val="none"/>
              </w:rPr>
              <w:t>章“竞争性比选单位须知”</w:t>
            </w:r>
            <w:r>
              <w:rPr>
                <w:rFonts w:hint="eastAsia" w:ascii="宋体" w:hAnsi="宋体"/>
                <w:szCs w:val="21"/>
                <w:highlight w:val="none"/>
              </w:rPr>
              <w:t xml:space="preserve"> 前附表</w:t>
            </w:r>
            <w:r>
              <w:rPr>
                <w:rFonts w:hint="eastAsia" w:ascii="宋体" w:hAnsi="宋体" w:cs="宋体"/>
                <w:kern w:val="0"/>
                <w:szCs w:val="21"/>
                <w:highlight w:val="none"/>
              </w:rPr>
              <w:t>规定</w:t>
            </w:r>
          </w:p>
        </w:tc>
      </w:tr>
      <w:tr w14:paraId="689B67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1" w:hRule="atLeast"/>
        </w:trPr>
        <w:tc>
          <w:tcPr>
            <w:tcW w:w="1015" w:type="dxa"/>
            <w:gridSpan w:val="2"/>
            <w:vMerge w:val="continue"/>
            <w:noWrap w:val="0"/>
            <w:vAlign w:val="top"/>
          </w:tcPr>
          <w:p w14:paraId="35273A94">
            <w:pPr>
              <w:spacing w:line="320" w:lineRule="exact"/>
              <w:rPr>
                <w:rFonts w:hint="eastAsia" w:ascii="宋体" w:hAnsi="宋体"/>
                <w:highlight w:val="none"/>
              </w:rPr>
            </w:pPr>
          </w:p>
        </w:tc>
        <w:tc>
          <w:tcPr>
            <w:tcW w:w="744" w:type="dxa"/>
            <w:vMerge w:val="continue"/>
            <w:noWrap w:val="0"/>
            <w:vAlign w:val="top"/>
          </w:tcPr>
          <w:p w14:paraId="0642429C">
            <w:pPr>
              <w:spacing w:line="320" w:lineRule="exact"/>
              <w:rPr>
                <w:rFonts w:hint="eastAsia" w:ascii="宋体" w:hAnsi="宋体"/>
                <w:highlight w:val="none"/>
              </w:rPr>
            </w:pPr>
          </w:p>
        </w:tc>
        <w:tc>
          <w:tcPr>
            <w:tcW w:w="2263" w:type="dxa"/>
            <w:noWrap w:val="0"/>
            <w:vAlign w:val="center"/>
          </w:tcPr>
          <w:p w14:paraId="261934C6">
            <w:pPr>
              <w:spacing w:line="320" w:lineRule="exact"/>
              <w:jc w:val="center"/>
              <w:rPr>
                <w:rFonts w:hint="eastAsia" w:ascii="宋体" w:hAnsi="宋体" w:cs="宋体"/>
                <w:kern w:val="0"/>
                <w:szCs w:val="21"/>
                <w:highlight w:val="none"/>
              </w:rPr>
            </w:pPr>
            <w:r>
              <w:rPr>
                <w:rFonts w:hint="eastAsia" w:ascii="宋体" w:hAnsi="宋体" w:cs="宋体"/>
                <w:kern w:val="0"/>
                <w:szCs w:val="21"/>
                <w:highlight w:val="none"/>
              </w:rPr>
              <w:t>项目经理</w:t>
            </w:r>
          </w:p>
        </w:tc>
        <w:tc>
          <w:tcPr>
            <w:tcW w:w="5933" w:type="dxa"/>
            <w:noWrap w:val="0"/>
            <w:vAlign w:val="center"/>
          </w:tcPr>
          <w:p w14:paraId="03C7E7A2">
            <w:pPr>
              <w:spacing w:line="320" w:lineRule="exact"/>
              <w:ind w:firstLine="420" w:firstLineChars="200"/>
              <w:rPr>
                <w:rFonts w:ascii="宋体" w:hAnsi="宋体"/>
                <w:szCs w:val="21"/>
                <w:highlight w:val="none"/>
              </w:rPr>
            </w:pPr>
            <w:r>
              <w:rPr>
                <w:rFonts w:ascii="宋体" w:hAnsi="宋体"/>
                <w:szCs w:val="21"/>
                <w:highlight w:val="none"/>
              </w:rPr>
              <w:t>符合第</w:t>
            </w:r>
            <w:r>
              <w:rPr>
                <w:rFonts w:hint="eastAsia" w:ascii="宋体" w:hAnsi="宋体"/>
                <w:szCs w:val="21"/>
                <w:highlight w:val="none"/>
              </w:rPr>
              <w:t>二</w:t>
            </w:r>
            <w:r>
              <w:rPr>
                <w:rFonts w:ascii="宋体" w:hAnsi="宋体"/>
                <w:szCs w:val="21"/>
                <w:highlight w:val="none"/>
              </w:rPr>
              <w:t>章“竞争性比选单位须知”</w:t>
            </w:r>
            <w:r>
              <w:rPr>
                <w:rFonts w:hint="eastAsia" w:ascii="宋体" w:hAnsi="宋体"/>
                <w:szCs w:val="21"/>
                <w:highlight w:val="none"/>
              </w:rPr>
              <w:t xml:space="preserve"> 前附表</w:t>
            </w:r>
            <w:r>
              <w:rPr>
                <w:rFonts w:hint="eastAsia" w:ascii="宋体" w:hAnsi="宋体" w:cs="宋体"/>
                <w:kern w:val="0"/>
                <w:szCs w:val="21"/>
                <w:highlight w:val="none"/>
              </w:rPr>
              <w:t>规定</w:t>
            </w:r>
          </w:p>
        </w:tc>
      </w:tr>
      <w:tr w14:paraId="3C0F3D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15" w:hRule="atLeast"/>
        </w:trPr>
        <w:tc>
          <w:tcPr>
            <w:tcW w:w="1015" w:type="dxa"/>
            <w:gridSpan w:val="2"/>
            <w:vMerge w:val="continue"/>
            <w:noWrap w:val="0"/>
            <w:vAlign w:val="top"/>
          </w:tcPr>
          <w:p w14:paraId="3F6D91BC">
            <w:pPr>
              <w:spacing w:line="320" w:lineRule="exact"/>
              <w:rPr>
                <w:rFonts w:hint="eastAsia" w:ascii="宋体" w:hAnsi="宋体"/>
                <w:highlight w:val="none"/>
              </w:rPr>
            </w:pPr>
          </w:p>
        </w:tc>
        <w:tc>
          <w:tcPr>
            <w:tcW w:w="744" w:type="dxa"/>
            <w:vMerge w:val="continue"/>
            <w:noWrap w:val="0"/>
            <w:vAlign w:val="top"/>
          </w:tcPr>
          <w:p w14:paraId="5E9687DF">
            <w:pPr>
              <w:spacing w:line="320" w:lineRule="exact"/>
              <w:rPr>
                <w:rFonts w:hint="eastAsia" w:ascii="宋体" w:hAnsi="宋体"/>
                <w:highlight w:val="none"/>
              </w:rPr>
            </w:pPr>
          </w:p>
        </w:tc>
        <w:tc>
          <w:tcPr>
            <w:tcW w:w="2263" w:type="dxa"/>
            <w:noWrap w:val="0"/>
            <w:vAlign w:val="center"/>
          </w:tcPr>
          <w:p w14:paraId="6B22D67E">
            <w:pPr>
              <w:spacing w:line="320" w:lineRule="exact"/>
              <w:jc w:val="center"/>
              <w:rPr>
                <w:rFonts w:hint="eastAsia" w:ascii="宋体" w:hAnsi="宋体" w:cs="宋体"/>
                <w:kern w:val="0"/>
                <w:szCs w:val="21"/>
                <w:highlight w:val="none"/>
              </w:rPr>
            </w:pPr>
            <w:r>
              <w:rPr>
                <w:rFonts w:hint="eastAsia" w:ascii="宋体" w:hAnsi="宋体" w:cs="宋体"/>
                <w:kern w:val="0"/>
                <w:szCs w:val="21"/>
                <w:highlight w:val="none"/>
              </w:rPr>
              <w:t>其他要求</w:t>
            </w:r>
          </w:p>
        </w:tc>
        <w:tc>
          <w:tcPr>
            <w:tcW w:w="5933" w:type="dxa"/>
            <w:noWrap w:val="0"/>
            <w:vAlign w:val="center"/>
          </w:tcPr>
          <w:p w14:paraId="4F09E5D6">
            <w:pPr>
              <w:spacing w:line="320" w:lineRule="exact"/>
              <w:ind w:firstLine="420" w:firstLineChars="200"/>
              <w:rPr>
                <w:rFonts w:ascii="宋体" w:hAnsi="宋体"/>
                <w:szCs w:val="21"/>
                <w:highlight w:val="none"/>
              </w:rPr>
            </w:pPr>
            <w:r>
              <w:rPr>
                <w:rFonts w:ascii="宋体" w:hAnsi="宋体"/>
                <w:szCs w:val="21"/>
                <w:highlight w:val="none"/>
              </w:rPr>
              <w:t>符合第</w:t>
            </w:r>
            <w:r>
              <w:rPr>
                <w:rFonts w:hint="eastAsia" w:ascii="宋体" w:hAnsi="宋体"/>
                <w:szCs w:val="21"/>
                <w:highlight w:val="none"/>
              </w:rPr>
              <w:t>二</w:t>
            </w:r>
            <w:r>
              <w:rPr>
                <w:rFonts w:ascii="宋体" w:hAnsi="宋体"/>
                <w:szCs w:val="21"/>
                <w:highlight w:val="none"/>
              </w:rPr>
              <w:t>章“竞争性比选单位须知”</w:t>
            </w:r>
            <w:r>
              <w:rPr>
                <w:rFonts w:hint="eastAsia" w:ascii="宋体" w:hAnsi="宋体"/>
                <w:szCs w:val="21"/>
                <w:highlight w:val="none"/>
              </w:rPr>
              <w:t xml:space="preserve"> 前附表</w:t>
            </w:r>
            <w:r>
              <w:rPr>
                <w:rFonts w:hint="eastAsia" w:ascii="宋体" w:hAnsi="宋体" w:cs="宋体"/>
                <w:kern w:val="0"/>
                <w:szCs w:val="21"/>
                <w:highlight w:val="none"/>
              </w:rPr>
              <w:t>规定</w:t>
            </w:r>
          </w:p>
        </w:tc>
      </w:tr>
      <w:tr w14:paraId="68D423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21" w:hRule="atLeast"/>
        </w:trPr>
        <w:tc>
          <w:tcPr>
            <w:tcW w:w="1015" w:type="dxa"/>
            <w:gridSpan w:val="2"/>
            <w:vMerge w:val="restart"/>
            <w:noWrap w:val="0"/>
            <w:vAlign w:val="center"/>
          </w:tcPr>
          <w:p w14:paraId="15175002">
            <w:pPr>
              <w:spacing w:line="320" w:lineRule="exact"/>
              <w:jc w:val="center"/>
              <w:rPr>
                <w:rFonts w:ascii="宋体" w:hAnsi="宋体" w:cs="宋体"/>
                <w:highlight w:val="none"/>
              </w:rPr>
            </w:pPr>
            <w:r>
              <w:rPr>
                <w:rFonts w:hint="eastAsia" w:ascii="宋体" w:hAnsi="宋体" w:cs="宋体"/>
                <w:kern w:val="0"/>
                <w:highlight w:val="none"/>
              </w:rPr>
              <w:t>2.1.3</w:t>
            </w:r>
          </w:p>
        </w:tc>
        <w:tc>
          <w:tcPr>
            <w:tcW w:w="744" w:type="dxa"/>
            <w:vMerge w:val="restart"/>
            <w:noWrap w:val="0"/>
            <w:vAlign w:val="center"/>
          </w:tcPr>
          <w:p w14:paraId="49478E44">
            <w:pPr>
              <w:spacing w:line="320" w:lineRule="exact"/>
              <w:jc w:val="center"/>
              <w:rPr>
                <w:rFonts w:hint="eastAsia" w:ascii="宋体" w:hAnsi="宋体" w:cs="宋体"/>
                <w:kern w:val="0"/>
                <w:highlight w:val="none"/>
              </w:rPr>
            </w:pPr>
          </w:p>
          <w:p w14:paraId="448E9296">
            <w:pPr>
              <w:spacing w:line="320" w:lineRule="exact"/>
              <w:jc w:val="center"/>
              <w:rPr>
                <w:rFonts w:ascii="宋体" w:hAnsi="宋体" w:cs="宋体"/>
                <w:highlight w:val="none"/>
              </w:rPr>
            </w:pPr>
            <w:r>
              <w:rPr>
                <w:rFonts w:hint="eastAsia" w:ascii="宋体" w:hAnsi="宋体" w:cs="宋体"/>
                <w:kern w:val="0"/>
                <w:highlight w:val="none"/>
              </w:rPr>
              <w:t>响应性评审标准</w:t>
            </w:r>
          </w:p>
        </w:tc>
        <w:tc>
          <w:tcPr>
            <w:tcW w:w="2263" w:type="dxa"/>
            <w:noWrap w:val="0"/>
            <w:vAlign w:val="center"/>
          </w:tcPr>
          <w:p w14:paraId="22EA870F">
            <w:pPr>
              <w:spacing w:line="320" w:lineRule="exact"/>
              <w:jc w:val="center"/>
              <w:rPr>
                <w:rFonts w:hint="eastAsia" w:ascii="宋体" w:hAnsi="宋体" w:cs="宋体"/>
                <w:kern w:val="0"/>
                <w:szCs w:val="21"/>
                <w:highlight w:val="none"/>
              </w:rPr>
            </w:pPr>
            <w:r>
              <w:rPr>
                <w:rFonts w:hint="eastAsia" w:ascii="宋体" w:hAnsi="宋体" w:cs="宋体"/>
                <w:kern w:val="0"/>
                <w:szCs w:val="21"/>
                <w:highlight w:val="none"/>
              </w:rPr>
              <w:t>投标内容</w:t>
            </w:r>
          </w:p>
        </w:tc>
        <w:tc>
          <w:tcPr>
            <w:tcW w:w="5933" w:type="dxa"/>
            <w:noWrap w:val="0"/>
            <w:vAlign w:val="center"/>
          </w:tcPr>
          <w:p w14:paraId="2EF276E5">
            <w:pPr>
              <w:spacing w:line="320" w:lineRule="exact"/>
              <w:ind w:firstLine="420" w:firstLineChars="200"/>
              <w:rPr>
                <w:rFonts w:ascii="宋体" w:hAnsi="宋体"/>
                <w:szCs w:val="21"/>
                <w:highlight w:val="none"/>
              </w:rPr>
            </w:pPr>
            <w:r>
              <w:rPr>
                <w:rFonts w:ascii="宋体" w:hAnsi="宋体"/>
                <w:szCs w:val="21"/>
                <w:highlight w:val="none"/>
              </w:rPr>
              <w:t>符合第</w:t>
            </w:r>
            <w:r>
              <w:rPr>
                <w:rFonts w:hint="eastAsia" w:ascii="宋体" w:hAnsi="宋体"/>
                <w:szCs w:val="21"/>
                <w:highlight w:val="none"/>
              </w:rPr>
              <w:t>二</w:t>
            </w:r>
            <w:r>
              <w:rPr>
                <w:rFonts w:ascii="宋体" w:hAnsi="宋体"/>
                <w:szCs w:val="21"/>
                <w:highlight w:val="none"/>
              </w:rPr>
              <w:t>章“竞争性比选单位须知”</w:t>
            </w:r>
            <w:r>
              <w:rPr>
                <w:rFonts w:hint="eastAsia" w:ascii="宋体" w:hAnsi="宋体"/>
                <w:szCs w:val="21"/>
                <w:highlight w:val="none"/>
              </w:rPr>
              <w:t xml:space="preserve"> 前附表</w:t>
            </w:r>
            <w:r>
              <w:rPr>
                <w:rFonts w:ascii="宋体" w:hAnsi="宋体"/>
                <w:szCs w:val="21"/>
                <w:highlight w:val="none"/>
              </w:rPr>
              <w:t>规定</w:t>
            </w:r>
          </w:p>
        </w:tc>
      </w:tr>
      <w:tr w14:paraId="7E55F5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48" w:hRule="atLeast"/>
        </w:trPr>
        <w:tc>
          <w:tcPr>
            <w:tcW w:w="1015" w:type="dxa"/>
            <w:gridSpan w:val="2"/>
            <w:vMerge w:val="continue"/>
            <w:noWrap w:val="0"/>
            <w:vAlign w:val="top"/>
          </w:tcPr>
          <w:p w14:paraId="469EEA25">
            <w:pPr>
              <w:spacing w:line="320" w:lineRule="exact"/>
              <w:rPr>
                <w:rFonts w:hint="eastAsia" w:ascii="宋体" w:hAnsi="宋体"/>
                <w:highlight w:val="none"/>
              </w:rPr>
            </w:pPr>
          </w:p>
        </w:tc>
        <w:tc>
          <w:tcPr>
            <w:tcW w:w="744" w:type="dxa"/>
            <w:vMerge w:val="continue"/>
            <w:noWrap w:val="0"/>
            <w:vAlign w:val="top"/>
          </w:tcPr>
          <w:p w14:paraId="085293EB">
            <w:pPr>
              <w:spacing w:line="320" w:lineRule="exact"/>
              <w:rPr>
                <w:rFonts w:hint="eastAsia" w:ascii="宋体" w:hAnsi="宋体"/>
                <w:highlight w:val="none"/>
              </w:rPr>
            </w:pPr>
          </w:p>
        </w:tc>
        <w:tc>
          <w:tcPr>
            <w:tcW w:w="2263" w:type="dxa"/>
            <w:noWrap w:val="0"/>
            <w:vAlign w:val="center"/>
          </w:tcPr>
          <w:p w14:paraId="78F8CA4E">
            <w:pPr>
              <w:spacing w:line="320" w:lineRule="exact"/>
              <w:jc w:val="center"/>
              <w:rPr>
                <w:rFonts w:hint="eastAsia" w:ascii="宋体" w:hAnsi="宋体" w:cs="宋体"/>
                <w:kern w:val="0"/>
                <w:szCs w:val="21"/>
                <w:highlight w:val="none"/>
              </w:rPr>
            </w:pPr>
            <w:r>
              <w:rPr>
                <w:rFonts w:hint="eastAsia" w:ascii="宋体" w:hAnsi="宋体" w:cs="宋体"/>
                <w:kern w:val="0"/>
                <w:szCs w:val="21"/>
                <w:highlight w:val="none"/>
              </w:rPr>
              <w:t>工    期</w:t>
            </w:r>
          </w:p>
        </w:tc>
        <w:tc>
          <w:tcPr>
            <w:tcW w:w="5933" w:type="dxa"/>
            <w:noWrap w:val="0"/>
            <w:vAlign w:val="center"/>
          </w:tcPr>
          <w:p w14:paraId="46C04F0F">
            <w:pPr>
              <w:spacing w:line="320" w:lineRule="exact"/>
              <w:ind w:firstLine="420" w:firstLineChars="200"/>
              <w:rPr>
                <w:rFonts w:ascii="宋体" w:hAnsi="宋体"/>
                <w:szCs w:val="21"/>
                <w:highlight w:val="none"/>
              </w:rPr>
            </w:pPr>
            <w:r>
              <w:rPr>
                <w:rFonts w:ascii="宋体" w:hAnsi="宋体"/>
                <w:szCs w:val="21"/>
                <w:highlight w:val="none"/>
              </w:rPr>
              <w:t>符合第</w:t>
            </w:r>
            <w:r>
              <w:rPr>
                <w:rFonts w:hint="eastAsia" w:ascii="宋体" w:hAnsi="宋体"/>
                <w:szCs w:val="21"/>
                <w:highlight w:val="none"/>
              </w:rPr>
              <w:t>二</w:t>
            </w:r>
            <w:r>
              <w:rPr>
                <w:rFonts w:ascii="宋体" w:hAnsi="宋体"/>
                <w:szCs w:val="21"/>
                <w:highlight w:val="none"/>
              </w:rPr>
              <w:t>章“竞争性比选单位须知”</w:t>
            </w:r>
            <w:r>
              <w:rPr>
                <w:rFonts w:hint="eastAsia" w:ascii="宋体" w:hAnsi="宋体"/>
                <w:szCs w:val="21"/>
                <w:highlight w:val="none"/>
              </w:rPr>
              <w:t xml:space="preserve"> 前附表</w:t>
            </w:r>
            <w:r>
              <w:rPr>
                <w:rFonts w:ascii="宋体" w:hAnsi="宋体"/>
                <w:szCs w:val="21"/>
                <w:highlight w:val="none"/>
              </w:rPr>
              <w:t>规定</w:t>
            </w:r>
          </w:p>
        </w:tc>
      </w:tr>
      <w:tr w14:paraId="7B7E6A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54" w:hRule="atLeast"/>
        </w:trPr>
        <w:tc>
          <w:tcPr>
            <w:tcW w:w="1015" w:type="dxa"/>
            <w:gridSpan w:val="2"/>
            <w:vMerge w:val="continue"/>
            <w:noWrap w:val="0"/>
            <w:vAlign w:val="top"/>
          </w:tcPr>
          <w:p w14:paraId="361C24E5">
            <w:pPr>
              <w:spacing w:line="320" w:lineRule="exact"/>
              <w:rPr>
                <w:rFonts w:hint="eastAsia" w:ascii="宋体" w:hAnsi="宋体"/>
                <w:highlight w:val="none"/>
              </w:rPr>
            </w:pPr>
          </w:p>
        </w:tc>
        <w:tc>
          <w:tcPr>
            <w:tcW w:w="744" w:type="dxa"/>
            <w:vMerge w:val="continue"/>
            <w:noWrap w:val="0"/>
            <w:vAlign w:val="top"/>
          </w:tcPr>
          <w:p w14:paraId="7D7DC89F">
            <w:pPr>
              <w:spacing w:line="320" w:lineRule="exact"/>
              <w:rPr>
                <w:rFonts w:hint="eastAsia" w:ascii="宋体" w:hAnsi="宋体"/>
                <w:highlight w:val="none"/>
              </w:rPr>
            </w:pPr>
          </w:p>
        </w:tc>
        <w:tc>
          <w:tcPr>
            <w:tcW w:w="2263" w:type="dxa"/>
            <w:noWrap w:val="0"/>
            <w:vAlign w:val="center"/>
          </w:tcPr>
          <w:p w14:paraId="1E063B96">
            <w:pPr>
              <w:spacing w:line="320" w:lineRule="exact"/>
              <w:jc w:val="center"/>
              <w:rPr>
                <w:rFonts w:hint="eastAsia" w:ascii="宋体" w:hAnsi="宋体" w:cs="宋体"/>
                <w:kern w:val="0"/>
                <w:szCs w:val="21"/>
                <w:highlight w:val="none"/>
              </w:rPr>
            </w:pPr>
            <w:r>
              <w:rPr>
                <w:rFonts w:hint="eastAsia" w:ascii="宋体" w:hAnsi="宋体" w:cs="宋体"/>
                <w:kern w:val="0"/>
                <w:szCs w:val="21"/>
                <w:highlight w:val="none"/>
              </w:rPr>
              <w:t>工程质量</w:t>
            </w:r>
          </w:p>
        </w:tc>
        <w:tc>
          <w:tcPr>
            <w:tcW w:w="5933" w:type="dxa"/>
            <w:noWrap w:val="0"/>
            <w:vAlign w:val="center"/>
          </w:tcPr>
          <w:p w14:paraId="38308689">
            <w:pPr>
              <w:spacing w:line="320" w:lineRule="exact"/>
              <w:ind w:firstLine="420" w:firstLineChars="200"/>
              <w:rPr>
                <w:rFonts w:hint="eastAsia" w:ascii="宋体" w:hAnsi="宋体"/>
                <w:szCs w:val="21"/>
                <w:highlight w:val="none"/>
              </w:rPr>
            </w:pPr>
            <w:r>
              <w:rPr>
                <w:rFonts w:hint="eastAsia" w:ascii="宋体" w:hAnsi="宋体"/>
                <w:szCs w:val="21"/>
                <w:highlight w:val="none"/>
              </w:rPr>
              <w:t>符合第二章“竞争性比选单位须知” 前附表规定</w:t>
            </w:r>
          </w:p>
        </w:tc>
      </w:tr>
      <w:tr w14:paraId="256C66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74" w:hRule="atLeast"/>
        </w:trPr>
        <w:tc>
          <w:tcPr>
            <w:tcW w:w="1015" w:type="dxa"/>
            <w:gridSpan w:val="2"/>
            <w:vMerge w:val="continue"/>
            <w:noWrap w:val="0"/>
            <w:vAlign w:val="top"/>
          </w:tcPr>
          <w:p w14:paraId="63EA5C67">
            <w:pPr>
              <w:spacing w:line="320" w:lineRule="exact"/>
              <w:rPr>
                <w:rFonts w:hint="eastAsia" w:ascii="宋体" w:hAnsi="宋体"/>
                <w:highlight w:val="none"/>
              </w:rPr>
            </w:pPr>
          </w:p>
        </w:tc>
        <w:tc>
          <w:tcPr>
            <w:tcW w:w="744" w:type="dxa"/>
            <w:vMerge w:val="continue"/>
            <w:noWrap w:val="0"/>
            <w:vAlign w:val="top"/>
          </w:tcPr>
          <w:p w14:paraId="210B80E6">
            <w:pPr>
              <w:spacing w:line="320" w:lineRule="exact"/>
              <w:rPr>
                <w:rFonts w:hint="eastAsia" w:ascii="宋体" w:hAnsi="宋体"/>
                <w:highlight w:val="none"/>
              </w:rPr>
            </w:pPr>
          </w:p>
        </w:tc>
        <w:tc>
          <w:tcPr>
            <w:tcW w:w="2263" w:type="dxa"/>
            <w:noWrap w:val="0"/>
            <w:vAlign w:val="center"/>
          </w:tcPr>
          <w:p w14:paraId="103CF8BF">
            <w:pPr>
              <w:spacing w:line="320" w:lineRule="exact"/>
              <w:jc w:val="center"/>
              <w:rPr>
                <w:rFonts w:hint="eastAsia" w:ascii="宋体" w:hAnsi="宋体" w:cs="宋体"/>
                <w:kern w:val="0"/>
                <w:szCs w:val="21"/>
                <w:highlight w:val="none"/>
              </w:rPr>
            </w:pPr>
            <w:r>
              <w:rPr>
                <w:rFonts w:hint="eastAsia" w:ascii="宋体" w:hAnsi="宋体" w:cs="宋体"/>
                <w:kern w:val="0"/>
                <w:szCs w:val="21"/>
                <w:highlight w:val="none"/>
              </w:rPr>
              <w:t>投标有效期</w:t>
            </w:r>
          </w:p>
        </w:tc>
        <w:tc>
          <w:tcPr>
            <w:tcW w:w="5933" w:type="dxa"/>
            <w:noWrap w:val="0"/>
            <w:vAlign w:val="center"/>
          </w:tcPr>
          <w:p w14:paraId="540D7D88">
            <w:pPr>
              <w:spacing w:line="320" w:lineRule="exact"/>
              <w:ind w:firstLine="420" w:firstLineChars="200"/>
              <w:rPr>
                <w:rFonts w:hint="eastAsia" w:ascii="宋体" w:hAnsi="宋体" w:cs="宋体"/>
                <w:kern w:val="0"/>
                <w:szCs w:val="21"/>
                <w:highlight w:val="none"/>
              </w:rPr>
            </w:pPr>
            <w:r>
              <w:rPr>
                <w:rFonts w:hint="eastAsia" w:ascii="宋体" w:hAnsi="宋体" w:cs="宋体"/>
                <w:kern w:val="0"/>
                <w:szCs w:val="21"/>
                <w:highlight w:val="none"/>
              </w:rPr>
              <w:t>符合第二章“竞争性比选单位须知”</w:t>
            </w:r>
            <w:r>
              <w:rPr>
                <w:rFonts w:hint="eastAsia" w:ascii="宋体" w:hAnsi="宋体"/>
                <w:szCs w:val="21"/>
                <w:highlight w:val="none"/>
              </w:rPr>
              <w:t xml:space="preserve"> 前附表</w:t>
            </w:r>
            <w:r>
              <w:rPr>
                <w:rFonts w:hint="eastAsia" w:ascii="宋体" w:hAnsi="宋体" w:cs="宋体"/>
                <w:kern w:val="0"/>
                <w:szCs w:val="21"/>
                <w:highlight w:val="none"/>
              </w:rPr>
              <w:t>规定</w:t>
            </w:r>
          </w:p>
        </w:tc>
      </w:tr>
      <w:tr w14:paraId="70C407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74" w:hRule="atLeast"/>
        </w:trPr>
        <w:tc>
          <w:tcPr>
            <w:tcW w:w="1015" w:type="dxa"/>
            <w:gridSpan w:val="2"/>
            <w:vMerge w:val="continue"/>
            <w:noWrap w:val="0"/>
            <w:vAlign w:val="top"/>
          </w:tcPr>
          <w:p w14:paraId="631730F9">
            <w:pPr>
              <w:spacing w:line="320" w:lineRule="exact"/>
              <w:rPr>
                <w:rFonts w:hint="eastAsia" w:ascii="宋体" w:hAnsi="宋体"/>
                <w:highlight w:val="none"/>
              </w:rPr>
            </w:pPr>
          </w:p>
        </w:tc>
        <w:tc>
          <w:tcPr>
            <w:tcW w:w="744" w:type="dxa"/>
            <w:vMerge w:val="continue"/>
            <w:noWrap w:val="0"/>
            <w:vAlign w:val="top"/>
          </w:tcPr>
          <w:p w14:paraId="53FAA735">
            <w:pPr>
              <w:spacing w:line="320" w:lineRule="exact"/>
              <w:rPr>
                <w:rFonts w:hint="eastAsia" w:ascii="宋体" w:hAnsi="宋体"/>
                <w:highlight w:val="none"/>
              </w:rPr>
            </w:pPr>
          </w:p>
        </w:tc>
        <w:tc>
          <w:tcPr>
            <w:tcW w:w="2263" w:type="dxa"/>
            <w:noWrap w:val="0"/>
            <w:vAlign w:val="center"/>
          </w:tcPr>
          <w:p w14:paraId="62BBB22F">
            <w:pPr>
              <w:spacing w:line="320" w:lineRule="exact"/>
              <w:jc w:val="center"/>
              <w:rPr>
                <w:rFonts w:ascii="宋体" w:hAnsi="宋体" w:cs="宋体"/>
                <w:kern w:val="0"/>
                <w:highlight w:val="none"/>
              </w:rPr>
            </w:pPr>
            <w:r>
              <w:rPr>
                <w:rFonts w:hint="eastAsia" w:ascii="宋体" w:hAnsi="宋体" w:cs="宋体"/>
                <w:kern w:val="0"/>
                <w:szCs w:val="21"/>
                <w:highlight w:val="none"/>
              </w:rPr>
              <w:t>比选保证金</w:t>
            </w:r>
          </w:p>
        </w:tc>
        <w:tc>
          <w:tcPr>
            <w:tcW w:w="5933" w:type="dxa"/>
            <w:noWrap w:val="0"/>
            <w:vAlign w:val="center"/>
          </w:tcPr>
          <w:p w14:paraId="661411E1">
            <w:pPr>
              <w:tabs>
                <w:tab w:val="left" w:pos="601"/>
              </w:tabs>
              <w:snapToGrid w:val="0"/>
              <w:spacing w:before="120" w:beforeLines="50" w:line="320" w:lineRule="exact"/>
              <w:ind w:firstLine="420" w:firstLineChars="200"/>
              <w:rPr>
                <w:rFonts w:ascii="宋体" w:hAnsi="宋体" w:cs="宋体"/>
                <w:kern w:val="0"/>
                <w:highlight w:val="none"/>
              </w:rPr>
            </w:pPr>
            <w:r>
              <w:rPr>
                <w:rFonts w:hint="eastAsia" w:ascii="宋体" w:hAnsi="宋体" w:cs="宋体"/>
                <w:kern w:val="0"/>
                <w:szCs w:val="21"/>
                <w:highlight w:val="none"/>
              </w:rPr>
              <w:t>符合第二章“竞争性比选单位须知”</w:t>
            </w:r>
            <w:r>
              <w:rPr>
                <w:rFonts w:hint="eastAsia" w:ascii="宋体" w:hAnsi="宋体"/>
                <w:szCs w:val="21"/>
                <w:highlight w:val="none"/>
              </w:rPr>
              <w:t xml:space="preserve"> 前附表</w:t>
            </w:r>
            <w:r>
              <w:rPr>
                <w:rFonts w:hint="eastAsia" w:ascii="宋体" w:hAnsi="宋体" w:cs="宋体"/>
                <w:kern w:val="0"/>
                <w:szCs w:val="21"/>
                <w:highlight w:val="none"/>
              </w:rPr>
              <w:t>规定</w:t>
            </w:r>
          </w:p>
        </w:tc>
      </w:tr>
      <w:tr w14:paraId="55CA00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62" w:hRule="atLeast"/>
        </w:trPr>
        <w:tc>
          <w:tcPr>
            <w:tcW w:w="1015" w:type="dxa"/>
            <w:gridSpan w:val="2"/>
            <w:vMerge w:val="continue"/>
            <w:noWrap w:val="0"/>
            <w:vAlign w:val="top"/>
          </w:tcPr>
          <w:p w14:paraId="3F9B19EE">
            <w:pPr>
              <w:spacing w:line="320" w:lineRule="exact"/>
              <w:rPr>
                <w:rFonts w:hint="eastAsia" w:ascii="宋体" w:hAnsi="宋体"/>
                <w:highlight w:val="none"/>
              </w:rPr>
            </w:pPr>
          </w:p>
        </w:tc>
        <w:tc>
          <w:tcPr>
            <w:tcW w:w="744" w:type="dxa"/>
            <w:vMerge w:val="continue"/>
            <w:noWrap w:val="0"/>
            <w:vAlign w:val="top"/>
          </w:tcPr>
          <w:p w14:paraId="00F0F1F2">
            <w:pPr>
              <w:spacing w:line="320" w:lineRule="exact"/>
              <w:rPr>
                <w:rFonts w:hint="eastAsia" w:ascii="宋体" w:hAnsi="宋体"/>
                <w:highlight w:val="none"/>
              </w:rPr>
            </w:pPr>
          </w:p>
        </w:tc>
        <w:tc>
          <w:tcPr>
            <w:tcW w:w="2263" w:type="dxa"/>
            <w:noWrap w:val="0"/>
            <w:vAlign w:val="center"/>
          </w:tcPr>
          <w:p w14:paraId="51A43A85">
            <w:pPr>
              <w:spacing w:line="320" w:lineRule="exact"/>
              <w:jc w:val="center"/>
              <w:rPr>
                <w:rFonts w:hint="eastAsia" w:ascii="宋体" w:hAnsi="宋体" w:cs="宋体"/>
                <w:kern w:val="0"/>
                <w:highlight w:val="none"/>
              </w:rPr>
            </w:pPr>
            <w:r>
              <w:rPr>
                <w:rFonts w:hint="eastAsia" w:ascii="宋体" w:hAnsi="宋体" w:cs="宋体"/>
                <w:kern w:val="0"/>
                <w:highlight w:val="none"/>
              </w:rPr>
              <w:t>权利义务</w:t>
            </w:r>
          </w:p>
        </w:tc>
        <w:tc>
          <w:tcPr>
            <w:tcW w:w="5933" w:type="dxa"/>
            <w:noWrap w:val="0"/>
            <w:vAlign w:val="center"/>
          </w:tcPr>
          <w:p w14:paraId="05587191">
            <w:pPr>
              <w:spacing w:before="120" w:beforeLines="50" w:line="320" w:lineRule="exact"/>
              <w:ind w:firstLine="420" w:firstLineChars="200"/>
              <w:rPr>
                <w:rFonts w:hint="eastAsia" w:ascii="宋体" w:hAnsi="宋体" w:cs="宋体"/>
                <w:kern w:val="0"/>
                <w:highlight w:val="none"/>
              </w:rPr>
            </w:pPr>
            <w:r>
              <w:rPr>
                <w:rFonts w:hint="eastAsia" w:ascii="宋体" w:hAnsi="宋体" w:cs="宋体"/>
                <w:kern w:val="0"/>
                <w:highlight w:val="none"/>
              </w:rPr>
              <w:t>符合第四章“合同条款及格式”规定，投标文件不应附有项目业主不能接受的条件。</w:t>
            </w:r>
          </w:p>
        </w:tc>
      </w:tr>
      <w:tr w14:paraId="0508E0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353" w:hRule="atLeast"/>
        </w:trPr>
        <w:tc>
          <w:tcPr>
            <w:tcW w:w="1015" w:type="dxa"/>
            <w:gridSpan w:val="2"/>
            <w:vMerge w:val="continue"/>
            <w:noWrap w:val="0"/>
            <w:vAlign w:val="top"/>
          </w:tcPr>
          <w:p w14:paraId="37D9258C">
            <w:pPr>
              <w:spacing w:line="320" w:lineRule="exact"/>
              <w:rPr>
                <w:rFonts w:hint="eastAsia" w:ascii="宋体" w:hAnsi="宋体"/>
                <w:highlight w:val="none"/>
              </w:rPr>
            </w:pPr>
          </w:p>
        </w:tc>
        <w:tc>
          <w:tcPr>
            <w:tcW w:w="744" w:type="dxa"/>
            <w:vMerge w:val="continue"/>
            <w:noWrap w:val="0"/>
            <w:vAlign w:val="top"/>
          </w:tcPr>
          <w:p w14:paraId="4016F9FD">
            <w:pPr>
              <w:spacing w:line="320" w:lineRule="exact"/>
              <w:rPr>
                <w:rFonts w:hint="eastAsia" w:ascii="宋体" w:hAnsi="宋体"/>
                <w:highlight w:val="none"/>
              </w:rPr>
            </w:pPr>
          </w:p>
        </w:tc>
        <w:tc>
          <w:tcPr>
            <w:tcW w:w="2263" w:type="dxa"/>
            <w:noWrap w:val="0"/>
            <w:vAlign w:val="center"/>
          </w:tcPr>
          <w:p w14:paraId="504D7159">
            <w:pPr>
              <w:spacing w:line="320" w:lineRule="exact"/>
              <w:jc w:val="center"/>
              <w:rPr>
                <w:rFonts w:hint="eastAsia" w:ascii="宋体" w:hAnsi="宋体" w:cs="宋体"/>
                <w:kern w:val="0"/>
                <w:highlight w:val="none"/>
              </w:rPr>
            </w:pPr>
            <w:r>
              <w:rPr>
                <w:rFonts w:hint="eastAsia" w:ascii="宋体" w:hAnsi="宋体" w:cs="宋体"/>
                <w:kern w:val="0"/>
                <w:highlight w:val="none"/>
              </w:rPr>
              <w:t>技术标准和要求</w:t>
            </w:r>
          </w:p>
        </w:tc>
        <w:tc>
          <w:tcPr>
            <w:tcW w:w="5933" w:type="dxa"/>
            <w:noWrap w:val="0"/>
            <w:vAlign w:val="center"/>
          </w:tcPr>
          <w:p w14:paraId="6F83F84B">
            <w:pPr>
              <w:spacing w:before="120" w:beforeLines="50" w:line="320" w:lineRule="exact"/>
              <w:ind w:firstLine="420" w:firstLineChars="200"/>
              <w:rPr>
                <w:rFonts w:hint="eastAsia" w:ascii="宋体" w:hAnsi="宋体" w:cs="宋体"/>
                <w:kern w:val="0"/>
                <w:highlight w:val="none"/>
              </w:rPr>
            </w:pPr>
            <w:r>
              <w:rPr>
                <w:rFonts w:hint="eastAsia" w:ascii="宋体" w:hAnsi="宋体" w:cs="宋体"/>
                <w:kern w:val="0"/>
                <w:highlight w:val="none"/>
              </w:rPr>
              <w:t>符合第七章“技术标准和要求”规定，且投标文件中载明的主要施工技术和方法及质量检验标准符合国家规范、规程和强制性标准。</w:t>
            </w:r>
          </w:p>
        </w:tc>
      </w:tr>
      <w:tr w14:paraId="0F777A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09" w:hRule="atLeast"/>
        </w:trPr>
        <w:tc>
          <w:tcPr>
            <w:tcW w:w="1015" w:type="dxa"/>
            <w:gridSpan w:val="2"/>
            <w:vMerge w:val="continue"/>
            <w:noWrap w:val="0"/>
            <w:vAlign w:val="top"/>
          </w:tcPr>
          <w:p w14:paraId="70F40109">
            <w:pPr>
              <w:spacing w:line="320" w:lineRule="exact"/>
              <w:rPr>
                <w:rFonts w:hint="eastAsia" w:ascii="宋体" w:hAnsi="宋体"/>
                <w:highlight w:val="none"/>
              </w:rPr>
            </w:pPr>
          </w:p>
        </w:tc>
        <w:tc>
          <w:tcPr>
            <w:tcW w:w="744" w:type="dxa"/>
            <w:vMerge w:val="continue"/>
            <w:noWrap w:val="0"/>
            <w:vAlign w:val="top"/>
          </w:tcPr>
          <w:p w14:paraId="14C1A3DF">
            <w:pPr>
              <w:spacing w:line="320" w:lineRule="exact"/>
              <w:rPr>
                <w:rFonts w:hint="eastAsia" w:ascii="宋体" w:hAnsi="宋体"/>
                <w:highlight w:val="none"/>
              </w:rPr>
            </w:pPr>
          </w:p>
        </w:tc>
        <w:tc>
          <w:tcPr>
            <w:tcW w:w="2263" w:type="dxa"/>
            <w:noWrap w:val="0"/>
            <w:vAlign w:val="center"/>
          </w:tcPr>
          <w:p w14:paraId="6D91379C">
            <w:pPr>
              <w:spacing w:line="320" w:lineRule="exact"/>
              <w:jc w:val="center"/>
              <w:rPr>
                <w:rFonts w:hint="eastAsia" w:ascii="宋体" w:hAnsi="宋体"/>
                <w:kern w:val="0"/>
                <w:highlight w:val="none"/>
              </w:rPr>
            </w:pPr>
            <w:r>
              <w:rPr>
                <w:rFonts w:hint="eastAsia" w:ascii="宋体" w:hAnsi="宋体"/>
                <w:kern w:val="0"/>
                <w:highlight w:val="none"/>
              </w:rPr>
              <w:t>实质性要求</w:t>
            </w:r>
          </w:p>
        </w:tc>
        <w:tc>
          <w:tcPr>
            <w:tcW w:w="5933" w:type="dxa"/>
            <w:noWrap w:val="0"/>
            <w:vAlign w:val="center"/>
          </w:tcPr>
          <w:p w14:paraId="737E8416">
            <w:pPr>
              <w:spacing w:before="120" w:beforeLines="50" w:line="320" w:lineRule="exact"/>
              <w:ind w:firstLine="420" w:firstLineChars="200"/>
              <w:rPr>
                <w:rFonts w:hint="eastAsia" w:ascii="宋体" w:hAnsi="宋体"/>
                <w:kern w:val="0"/>
                <w:highlight w:val="none"/>
              </w:rPr>
            </w:pPr>
            <w:r>
              <w:rPr>
                <w:rFonts w:hint="eastAsia" w:ascii="宋体" w:hAnsi="宋体"/>
                <w:kern w:val="0"/>
                <w:highlight w:val="none"/>
              </w:rPr>
              <w:t>符合比选文件中规定的其他实质性要求。</w:t>
            </w:r>
          </w:p>
        </w:tc>
      </w:tr>
      <w:tr w14:paraId="30E743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09" w:hRule="atLeast"/>
        </w:trPr>
        <w:tc>
          <w:tcPr>
            <w:tcW w:w="1759" w:type="dxa"/>
            <w:gridSpan w:val="3"/>
            <w:noWrap w:val="0"/>
            <w:vAlign w:val="center"/>
          </w:tcPr>
          <w:p w14:paraId="19A3A8F6">
            <w:pPr>
              <w:autoSpaceDE w:val="0"/>
              <w:autoSpaceDN w:val="0"/>
              <w:adjustRightInd w:val="0"/>
              <w:spacing w:line="320" w:lineRule="exact"/>
              <w:jc w:val="center"/>
              <w:rPr>
                <w:rFonts w:hint="eastAsia" w:ascii="宋体" w:hAnsi="宋体"/>
                <w:szCs w:val="21"/>
                <w:highlight w:val="none"/>
              </w:rPr>
            </w:pPr>
            <w:r>
              <w:rPr>
                <w:rFonts w:hint="eastAsia" w:ascii="宋体" w:hAnsi="宋体"/>
                <w:szCs w:val="21"/>
                <w:highlight w:val="none"/>
              </w:rPr>
              <w:t>2.2.1</w:t>
            </w:r>
          </w:p>
        </w:tc>
        <w:tc>
          <w:tcPr>
            <w:tcW w:w="2263" w:type="dxa"/>
            <w:noWrap w:val="0"/>
            <w:vAlign w:val="center"/>
          </w:tcPr>
          <w:p w14:paraId="7C90DDA4">
            <w:pPr>
              <w:snapToGrid w:val="0"/>
              <w:spacing w:line="320" w:lineRule="exact"/>
              <w:jc w:val="center"/>
              <w:rPr>
                <w:rFonts w:hint="eastAsia" w:ascii="宋体" w:hAnsi="宋体"/>
                <w:kern w:val="0"/>
                <w:highlight w:val="none"/>
              </w:rPr>
            </w:pPr>
            <w:r>
              <w:rPr>
                <w:rFonts w:hint="eastAsia" w:ascii="宋体" w:hAnsi="宋体"/>
                <w:szCs w:val="21"/>
                <w:highlight w:val="none"/>
              </w:rPr>
              <w:t>项目评审方法</w:t>
            </w:r>
          </w:p>
        </w:tc>
        <w:tc>
          <w:tcPr>
            <w:tcW w:w="5933" w:type="dxa"/>
            <w:noWrap w:val="0"/>
            <w:vAlign w:val="top"/>
          </w:tcPr>
          <w:p w14:paraId="25A5DF14">
            <w:pPr>
              <w:snapToGrid w:val="0"/>
              <w:spacing w:before="120" w:beforeLines="50" w:line="320" w:lineRule="exact"/>
              <w:ind w:firstLine="420" w:firstLineChars="200"/>
              <w:rPr>
                <w:rFonts w:hint="eastAsia" w:ascii="宋体" w:hAnsi="宋体"/>
                <w:kern w:val="0"/>
                <w:highlight w:val="none"/>
              </w:rPr>
            </w:pPr>
            <w:r>
              <w:rPr>
                <w:rFonts w:hint="eastAsia" w:ascii="宋体" w:hAnsi="宋体" w:cs="MingLiU"/>
                <w:snapToGrid w:val="0"/>
                <w:kern w:val="0"/>
                <w:szCs w:val="21"/>
                <w:highlight w:val="none"/>
              </w:rPr>
              <w:t>本次招标招标人将设置总价最高限价和分部分项工程项目清单综合单价的最高限价；竞争性比选单位的投标报价不得高于招标人公布的相应最高限价，否则，将被认定为废标。</w:t>
            </w:r>
            <w:r>
              <w:rPr>
                <w:rFonts w:hint="eastAsia" w:ascii="宋体" w:hAnsi="宋体"/>
                <w:szCs w:val="21"/>
                <w:highlight w:val="none"/>
              </w:rPr>
              <w:t>对各投标人有效投标报价的合理性进行综合分析评审，采用投标总报价评审，对各分部分项工程项目清单报价只作符合性审查。</w:t>
            </w:r>
          </w:p>
        </w:tc>
      </w:tr>
      <w:tr w14:paraId="5E88D0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72" w:hRule="atLeast"/>
        </w:trPr>
        <w:tc>
          <w:tcPr>
            <w:tcW w:w="1759" w:type="dxa"/>
            <w:gridSpan w:val="3"/>
            <w:noWrap w:val="0"/>
            <w:vAlign w:val="center"/>
          </w:tcPr>
          <w:p w14:paraId="11C0DA8D">
            <w:pPr>
              <w:spacing w:line="320" w:lineRule="exact"/>
              <w:ind w:firstLine="210" w:firstLineChars="100"/>
              <w:jc w:val="center"/>
              <w:rPr>
                <w:rFonts w:ascii="宋体" w:hAnsi="宋体" w:cs="宋体"/>
                <w:kern w:val="0"/>
                <w:highlight w:val="none"/>
              </w:rPr>
            </w:pPr>
            <w:r>
              <w:rPr>
                <w:rFonts w:hint="eastAsia" w:ascii="宋体" w:hAnsi="宋体" w:cs="宋体"/>
                <w:kern w:val="0"/>
                <w:highlight w:val="none"/>
              </w:rPr>
              <w:t>2.2.2</w:t>
            </w:r>
          </w:p>
        </w:tc>
        <w:tc>
          <w:tcPr>
            <w:tcW w:w="2263" w:type="dxa"/>
            <w:noWrap w:val="0"/>
            <w:vAlign w:val="center"/>
          </w:tcPr>
          <w:p w14:paraId="2A9B4B04">
            <w:pPr>
              <w:spacing w:line="320" w:lineRule="exact"/>
              <w:jc w:val="center"/>
              <w:rPr>
                <w:rFonts w:hint="eastAsia" w:ascii="宋体" w:hAnsi="宋体" w:cs="TimesNewRomanPSMT"/>
                <w:szCs w:val="21"/>
                <w:highlight w:val="none"/>
              </w:rPr>
            </w:pPr>
            <w:r>
              <w:rPr>
                <w:rFonts w:hint="eastAsia" w:ascii="宋体" w:hAnsi="宋体" w:cs="TimesNewRomanPSMT"/>
                <w:szCs w:val="21"/>
                <w:highlight w:val="none"/>
              </w:rPr>
              <w:t>评标基准价</w:t>
            </w:r>
          </w:p>
          <w:p w14:paraId="1CFA460B">
            <w:pPr>
              <w:spacing w:line="320" w:lineRule="exact"/>
              <w:jc w:val="center"/>
              <w:rPr>
                <w:rFonts w:hint="eastAsia" w:ascii="宋体" w:hAnsi="宋体" w:cs="TimesNewRomanPSMT"/>
                <w:szCs w:val="21"/>
                <w:highlight w:val="none"/>
              </w:rPr>
            </w:pPr>
            <w:r>
              <w:rPr>
                <w:rFonts w:hint="eastAsia" w:ascii="宋体" w:hAnsi="宋体" w:cs="TimesNewRomanPSMT"/>
                <w:szCs w:val="21"/>
                <w:highlight w:val="none"/>
              </w:rPr>
              <w:t>计算方法</w:t>
            </w:r>
          </w:p>
        </w:tc>
        <w:tc>
          <w:tcPr>
            <w:tcW w:w="5933" w:type="dxa"/>
            <w:noWrap w:val="0"/>
            <w:vAlign w:val="center"/>
          </w:tcPr>
          <w:p w14:paraId="239E4277">
            <w:pPr>
              <w:spacing w:line="320" w:lineRule="exact"/>
              <w:ind w:firstLine="420" w:firstLineChars="200"/>
              <w:rPr>
                <w:rFonts w:hint="eastAsia" w:ascii="宋体" w:hAnsi="宋体" w:cs="TimesNewRomanPSMT"/>
                <w:szCs w:val="21"/>
                <w:highlight w:val="none"/>
              </w:rPr>
            </w:pPr>
            <w:r>
              <w:rPr>
                <w:rFonts w:hint="eastAsia" w:ascii="宋体" w:hAnsi="宋体"/>
                <w:szCs w:val="21"/>
                <w:highlight w:val="none"/>
              </w:rPr>
              <w:t>/</w:t>
            </w:r>
          </w:p>
        </w:tc>
      </w:tr>
      <w:tr w14:paraId="1E3259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5" w:hRule="atLeast"/>
        </w:trPr>
        <w:tc>
          <w:tcPr>
            <w:tcW w:w="1759" w:type="dxa"/>
            <w:gridSpan w:val="3"/>
            <w:noWrap w:val="0"/>
            <w:vAlign w:val="center"/>
          </w:tcPr>
          <w:p w14:paraId="33E66680">
            <w:pPr>
              <w:spacing w:line="320" w:lineRule="exact"/>
              <w:ind w:firstLine="210" w:firstLineChars="100"/>
              <w:jc w:val="center"/>
              <w:rPr>
                <w:rFonts w:hint="eastAsia" w:ascii="宋体" w:hAnsi="宋体" w:cs="宋体"/>
                <w:kern w:val="0"/>
                <w:highlight w:val="none"/>
              </w:rPr>
            </w:pPr>
            <w:r>
              <w:rPr>
                <w:rFonts w:hint="eastAsia" w:ascii="宋体" w:hAnsi="宋体" w:cs="宋体"/>
                <w:kern w:val="0"/>
                <w:highlight w:val="none"/>
              </w:rPr>
              <w:t>2.2.3</w:t>
            </w:r>
          </w:p>
        </w:tc>
        <w:tc>
          <w:tcPr>
            <w:tcW w:w="2263" w:type="dxa"/>
            <w:noWrap w:val="0"/>
            <w:vAlign w:val="center"/>
          </w:tcPr>
          <w:p w14:paraId="2AD70DB2">
            <w:pPr>
              <w:spacing w:line="320" w:lineRule="exact"/>
              <w:jc w:val="center"/>
              <w:rPr>
                <w:rFonts w:ascii="宋体" w:hAnsi="宋体" w:cs="宋体"/>
                <w:kern w:val="0"/>
                <w:szCs w:val="21"/>
                <w:highlight w:val="none"/>
              </w:rPr>
            </w:pPr>
            <w:r>
              <w:rPr>
                <w:rFonts w:hint="eastAsia" w:ascii="宋体" w:hAnsi="宋体" w:cs="宋体"/>
                <w:kern w:val="0"/>
                <w:szCs w:val="21"/>
                <w:highlight w:val="none"/>
              </w:rPr>
              <w:t>详细评审</w:t>
            </w:r>
          </w:p>
        </w:tc>
        <w:tc>
          <w:tcPr>
            <w:tcW w:w="5933" w:type="dxa"/>
            <w:noWrap w:val="0"/>
            <w:vAlign w:val="center"/>
          </w:tcPr>
          <w:p w14:paraId="0847AD3B">
            <w:pPr>
              <w:snapToGrid w:val="0"/>
              <w:spacing w:line="320" w:lineRule="exact"/>
              <w:ind w:left="92" w:leftChars="44" w:firstLine="411" w:firstLineChars="196"/>
              <w:rPr>
                <w:rFonts w:hint="eastAsia" w:ascii="宋体" w:hAnsi="宋体"/>
                <w:szCs w:val="21"/>
                <w:highlight w:val="none"/>
              </w:rPr>
            </w:pPr>
            <w:r>
              <w:rPr>
                <w:rFonts w:hint="eastAsia" w:ascii="宋体" w:hAnsi="宋体" w:cs="宋体"/>
                <w:kern w:val="0"/>
                <w:szCs w:val="21"/>
                <w:highlight w:val="none"/>
              </w:rPr>
              <w:t>1、</w:t>
            </w:r>
            <w:r>
              <w:rPr>
                <w:rFonts w:hint="eastAsia" w:ascii="宋体" w:hAnsi="宋体"/>
                <w:szCs w:val="21"/>
                <w:highlight w:val="none"/>
              </w:rPr>
              <w:t>经初步评审合格的投标文件，由评标委员会对各投标人的有效投标总报价进行评审比较，对投标人的有效投标总报价按由低到高进行排序，总报价最低的投标人排名第一，次低者排名第二，</w:t>
            </w:r>
            <w:r>
              <w:rPr>
                <w:rFonts w:hint="eastAsia" w:ascii="宋体" w:hAnsi="宋体" w:cs="宋体"/>
                <w:kern w:val="0"/>
                <w:szCs w:val="21"/>
                <w:highlight w:val="none"/>
              </w:rPr>
              <w:t>依次类推排出前三名中标候选人。</w:t>
            </w:r>
          </w:p>
          <w:p w14:paraId="31292FAE">
            <w:pPr>
              <w:spacing w:line="320" w:lineRule="exact"/>
              <w:ind w:firstLine="420" w:firstLineChars="200"/>
              <w:rPr>
                <w:rFonts w:ascii="宋体" w:hAnsi="宋体" w:cs="宋体"/>
                <w:kern w:val="0"/>
                <w:szCs w:val="21"/>
                <w:highlight w:val="none"/>
              </w:rPr>
            </w:pPr>
            <w:r>
              <w:rPr>
                <w:rFonts w:hint="eastAsia" w:ascii="宋体" w:hAnsi="宋体"/>
                <w:szCs w:val="21"/>
                <w:highlight w:val="none"/>
              </w:rPr>
              <w:t>2、如果投标人的投标总报价相同，则采取</w:t>
            </w:r>
            <w:r>
              <w:rPr>
                <w:rFonts w:hint="eastAsia" w:ascii="宋体" w:hAnsi="宋体"/>
                <w:highlight w:val="none"/>
              </w:rPr>
              <w:t>由招标人现场随机</w:t>
            </w:r>
            <w:r>
              <w:rPr>
                <w:rFonts w:hint="eastAsia" w:ascii="宋体" w:hAnsi="宋体"/>
                <w:szCs w:val="21"/>
                <w:highlight w:val="none"/>
              </w:rPr>
              <w:t>抽签的办法确定排名顺序。</w:t>
            </w:r>
          </w:p>
        </w:tc>
      </w:tr>
      <w:tr w14:paraId="22B8E0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8" w:hRule="atLeast"/>
        </w:trPr>
        <w:tc>
          <w:tcPr>
            <w:tcW w:w="855" w:type="dxa"/>
            <w:noWrap w:val="0"/>
            <w:vAlign w:val="center"/>
          </w:tcPr>
          <w:p w14:paraId="5493D47B">
            <w:pPr>
              <w:spacing w:line="320" w:lineRule="exact"/>
              <w:jc w:val="center"/>
              <w:rPr>
                <w:rFonts w:hint="eastAsia" w:ascii="宋体" w:hAnsi="宋体"/>
                <w:szCs w:val="21"/>
                <w:highlight w:val="none"/>
              </w:rPr>
            </w:pPr>
            <w:r>
              <w:rPr>
                <w:rFonts w:hint="eastAsia" w:ascii="宋体" w:hAnsi="宋体"/>
                <w:szCs w:val="21"/>
                <w:highlight w:val="none"/>
              </w:rPr>
              <w:t>3</w:t>
            </w:r>
          </w:p>
        </w:tc>
        <w:tc>
          <w:tcPr>
            <w:tcW w:w="904" w:type="dxa"/>
            <w:gridSpan w:val="2"/>
            <w:noWrap w:val="0"/>
            <w:vAlign w:val="center"/>
          </w:tcPr>
          <w:p w14:paraId="42A8C4C3">
            <w:pPr>
              <w:spacing w:line="320" w:lineRule="exact"/>
              <w:jc w:val="center"/>
              <w:rPr>
                <w:rFonts w:hint="eastAsia" w:ascii="宋体" w:hAnsi="宋体"/>
                <w:spacing w:val="-10"/>
                <w:szCs w:val="21"/>
                <w:highlight w:val="none"/>
              </w:rPr>
            </w:pPr>
            <w:r>
              <w:rPr>
                <w:rFonts w:hint="eastAsia" w:ascii="宋体" w:hAnsi="宋体"/>
                <w:spacing w:val="-10"/>
                <w:szCs w:val="21"/>
                <w:highlight w:val="none"/>
              </w:rPr>
              <w:t>评</w:t>
            </w:r>
          </w:p>
          <w:p w14:paraId="530DC9B4">
            <w:pPr>
              <w:spacing w:line="320" w:lineRule="exact"/>
              <w:jc w:val="center"/>
              <w:rPr>
                <w:rFonts w:hint="eastAsia" w:ascii="宋体" w:hAnsi="宋体"/>
                <w:spacing w:val="-10"/>
                <w:szCs w:val="21"/>
                <w:highlight w:val="none"/>
              </w:rPr>
            </w:pPr>
            <w:r>
              <w:rPr>
                <w:rFonts w:hint="eastAsia" w:ascii="宋体" w:hAnsi="宋体"/>
                <w:spacing w:val="-10"/>
                <w:szCs w:val="21"/>
                <w:highlight w:val="none"/>
              </w:rPr>
              <w:t>标</w:t>
            </w:r>
          </w:p>
          <w:p w14:paraId="7C34CAB0">
            <w:pPr>
              <w:spacing w:line="320" w:lineRule="exact"/>
              <w:jc w:val="center"/>
              <w:rPr>
                <w:rFonts w:hint="eastAsia" w:ascii="宋体" w:hAnsi="宋体"/>
                <w:spacing w:val="-10"/>
                <w:szCs w:val="21"/>
                <w:highlight w:val="none"/>
              </w:rPr>
            </w:pPr>
            <w:r>
              <w:rPr>
                <w:rFonts w:hint="eastAsia" w:ascii="宋体" w:hAnsi="宋体"/>
                <w:spacing w:val="-10"/>
                <w:szCs w:val="21"/>
                <w:highlight w:val="none"/>
              </w:rPr>
              <w:t>程</w:t>
            </w:r>
          </w:p>
          <w:p w14:paraId="77C92C87">
            <w:pPr>
              <w:spacing w:line="320" w:lineRule="exact"/>
              <w:jc w:val="center"/>
              <w:rPr>
                <w:rFonts w:hint="eastAsia" w:ascii="宋体" w:hAnsi="宋体"/>
                <w:spacing w:val="-40"/>
                <w:szCs w:val="21"/>
                <w:highlight w:val="none"/>
              </w:rPr>
            </w:pPr>
            <w:r>
              <w:rPr>
                <w:rFonts w:hint="eastAsia" w:ascii="宋体" w:hAnsi="宋体"/>
                <w:spacing w:val="-10"/>
                <w:szCs w:val="21"/>
                <w:highlight w:val="none"/>
              </w:rPr>
              <w:t>序</w:t>
            </w:r>
          </w:p>
        </w:tc>
        <w:tc>
          <w:tcPr>
            <w:tcW w:w="8196" w:type="dxa"/>
            <w:gridSpan w:val="2"/>
            <w:tcBorders>
              <w:top w:val="single" w:color="auto" w:sz="4" w:space="0"/>
              <w:bottom w:val="single" w:color="auto" w:sz="4" w:space="0"/>
            </w:tcBorders>
            <w:noWrap w:val="0"/>
            <w:vAlign w:val="center"/>
          </w:tcPr>
          <w:p w14:paraId="36643805">
            <w:pPr>
              <w:spacing w:line="320" w:lineRule="exact"/>
              <w:ind w:firstLine="420" w:firstLineChars="200"/>
              <w:rPr>
                <w:rFonts w:hint="eastAsia" w:ascii="宋体" w:hAnsi="宋体"/>
                <w:szCs w:val="21"/>
                <w:highlight w:val="none"/>
              </w:rPr>
            </w:pPr>
            <w:r>
              <w:rPr>
                <w:rFonts w:hint="eastAsia" w:ascii="宋体" w:hAnsi="宋体"/>
                <w:szCs w:val="21"/>
                <w:highlight w:val="none"/>
              </w:rPr>
              <w:t>1．开标后，首先将投标文件送</w:t>
            </w:r>
            <w:r>
              <w:rPr>
                <w:rFonts w:hint="eastAsia" w:ascii="宋体" w:hAnsi="宋体" w:cs="宋体"/>
                <w:kern w:val="0"/>
                <w:szCs w:val="21"/>
                <w:highlight w:val="none"/>
              </w:rPr>
              <w:t>评审小组</w:t>
            </w:r>
            <w:r>
              <w:rPr>
                <w:rFonts w:hint="eastAsia" w:ascii="宋体" w:hAnsi="宋体"/>
                <w:szCs w:val="21"/>
                <w:highlight w:val="none"/>
              </w:rPr>
              <w:t>进行资格评审。资格评审不合格的单位，不再对其投标文件进行后续评审。</w:t>
            </w:r>
          </w:p>
          <w:p w14:paraId="25FF0E5E">
            <w:pPr>
              <w:spacing w:line="320" w:lineRule="exact"/>
              <w:ind w:firstLine="420" w:firstLineChars="200"/>
              <w:rPr>
                <w:rFonts w:hint="eastAsia" w:ascii="宋体" w:hAnsi="宋体"/>
                <w:szCs w:val="21"/>
                <w:highlight w:val="none"/>
              </w:rPr>
            </w:pPr>
            <w:r>
              <w:rPr>
                <w:rFonts w:hint="eastAsia" w:ascii="宋体" w:hAnsi="宋体"/>
                <w:szCs w:val="21"/>
                <w:highlight w:val="none"/>
              </w:rPr>
              <w:t>2．</w:t>
            </w:r>
            <w:r>
              <w:rPr>
                <w:rFonts w:hint="eastAsia" w:ascii="宋体" w:hAnsi="宋体" w:cs="宋体"/>
                <w:kern w:val="0"/>
                <w:szCs w:val="21"/>
                <w:highlight w:val="none"/>
              </w:rPr>
              <w:t>评审小组</w:t>
            </w:r>
            <w:r>
              <w:rPr>
                <w:rFonts w:hint="eastAsia" w:ascii="宋体" w:hAnsi="宋体"/>
                <w:szCs w:val="21"/>
                <w:highlight w:val="none"/>
              </w:rPr>
              <w:t>按照比选文件的规定对竞争性比选单位的投标文件进行形式评审和响应性评审。投标文件未实质性响应比选文件的要求和条件属于重大偏差，凡经</w:t>
            </w:r>
            <w:r>
              <w:rPr>
                <w:rFonts w:hint="eastAsia" w:ascii="宋体" w:hAnsi="宋体" w:cs="宋体"/>
                <w:kern w:val="0"/>
                <w:szCs w:val="21"/>
                <w:highlight w:val="none"/>
              </w:rPr>
              <w:t>评审小组</w:t>
            </w:r>
            <w:r>
              <w:rPr>
                <w:rFonts w:hint="eastAsia" w:ascii="宋体" w:hAnsi="宋体"/>
                <w:szCs w:val="21"/>
                <w:highlight w:val="none"/>
              </w:rPr>
              <w:t>认定有重大偏差的投标文件，该投标文件为无效投标文件，评标委员认定为无效的投标文件不再进行后续评审。</w:t>
            </w:r>
          </w:p>
          <w:p w14:paraId="4AB682A6">
            <w:pPr>
              <w:spacing w:line="320" w:lineRule="exact"/>
              <w:ind w:firstLine="420" w:firstLineChars="200"/>
              <w:rPr>
                <w:rFonts w:hint="eastAsia" w:ascii="宋体" w:hAnsi="宋体"/>
                <w:szCs w:val="21"/>
                <w:highlight w:val="none"/>
              </w:rPr>
            </w:pPr>
            <w:r>
              <w:rPr>
                <w:rFonts w:hint="eastAsia" w:ascii="宋体" w:hAnsi="宋体"/>
                <w:szCs w:val="21"/>
                <w:highlight w:val="none"/>
              </w:rPr>
              <w:t>只有通过资格评审、形式评审和响应性评审的投标文件才能进入后续评审。</w:t>
            </w:r>
          </w:p>
          <w:p w14:paraId="2FE0FA4D">
            <w:pPr>
              <w:spacing w:line="320" w:lineRule="exact"/>
              <w:ind w:firstLine="420" w:firstLineChars="200"/>
              <w:rPr>
                <w:rFonts w:hint="eastAsia" w:ascii="宋体" w:hAnsi="宋体"/>
                <w:szCs w:val="21"/>
                <w:highlight w:val="none"/>
              </w:rPr>
            </w:pPr>
            <w:r>
              <w:rPr>
                <w:rFonts w:hint="eastAsia" w:ascii="宋体" w:hAnsi="宋体"/>
                <w:szCs w:val="21"/>
                <w:highlight w:val="none"/>
              </w:rPr>
              <w:t>3．</w:t>
            </w:r>
            <w:r>
              <w:rPr>
                <w:rFonts w:hint="eastAsia" w:ascii="宋体" w:hAnsi="宋体" w:cs="宋体"/>
                <w:kern w:val="0"/>
                <w:szCs w:val="21"/>
                <w:highlight w:val="none"/>
              </w:rPr>
              <w:t>评审小组</w:t>
            </w:r>
            <w:r>
              <w:rPr>
                <w:rFonts w:hint="eastAsia" w:ascii="宋体" w:hAnsi="宋体"/>
                <w:szCs w:val="21"/>
                <w:highlight w:val="none"/>
              </w:rPr>
              <w:t>按照比选文件规定的标准确定中标候选人。</w:t>
            </w:r>
          </w:p>
        </w:tc>
      </w:tr>
    </w:tbl>
    <w:p w14:paraId="67DBC57E">
      <w:pPr>
        <w:spacing w:line="330" w:lineRule="exact"/>
        <w:rPr>
          <w:rFonts w:ascii="宋体" w:hAnsi="宋体"/>
          <w:b/>
          <w:highlight w:val="none"/>
        </w:rPr>
      </w:pPr>
      <w:r>
        <w:rPr>
          <w:rFonts w:hint="eastAsia" w:ascii="宋体" w:hAnsi="宋体" w:cs="宋体"/>
          <w:b/>
          <w:color w:val="auto"/>
          <w:highlight w:val="none"/>
        </w:rPr>
        <w:br w:type="page"/>
      </w:r>
      <w:bookmarkStart w:id="204" w:name="_Toc19865"/>
      <w:bookmarkStart w:id="205" w:name="_Toc16562"/>
      <w:r>
        <w:rPr>
          <w:rStyle w:val="422"/>
          <w:rFonts w:hint="eastAsia" w:ascii="宋体" w:hAnsi="宋体" w:eastAsia="宋体" w:cs="宋体"/>
          <w:sz w:val="21"/>
          <w:szCs w:val="21"/>
          <w:highlight w:val="none"/>
        </w:rPr>
        <w:t>1. 评标方法</w:t>
      </w:r>
      <w:bookmarkEnd w:id="204"/>
      <w:bookmarkEnd w:id="205"/>
    </w:p>
    <w:p w14:paraId="5FCF00A0">
      <w:pPr>
        <w:autoSpaceDE w:val="0"/>
        <w:autoSpaceDN w:val="0"/>
        <w:adjustRightInd w:val="0"/>
        <w:snapToGrid w:val="0"/>
        <w:spacing w:line="330" w:lineRule="exact"/>
        <w:ind w:firstLine="420" w:firstLineChars="200"/>
        <w:jc w:val="left"/>
        <w:rPr>
          <w:rFonts w:hint="eastAsia" w:ascii="宋体" w:hAnsi="宋体" w:cs="MingLiU"/>
          <w:snapToGrid w:val="0"/>
          <w:kern w:val="0"/>
          <w:szCs w:val="21"/>
          <w:highlight w:val="none"/>
        </w:rPr>
      </w:pPr>
      <w:r>
        <w:rPr>
          <w:rFonts w:hint="eastAsia" w:ascii="宋体" w:hAnsi="宋体" w:cs="宋体"/>
          <w:kern w:val="0"/>
          <w:szCs w:val="21"/>
          <w:highlight w:val="none"/>
        </w:rPr>
        <w:t>评审小组</w:t>
      </w:r>
      <w:r>
        <w:rPr>
          <w:rFonts w:hint="eastAsia" w:ascii="宋体" w:hAnsi="宋体" w:cs="MingLiU"/>
          <w:snapToGrid w:val="0"/>
          <w:kern w:val="0"/>
          <w:szCs w:val="21"/>
          <w:highlight w:val="none"/>
        </w:rPr>
        <w:t>对满足比选文件实质性要求的投标文件，按照本章规定的详细评审方法推荐中标候选人，若竞争性比选单位的有效投标报价相同（排名相同）时，则由项目业主现场随机抽取选择竞争性比选单位的排序。</w:t>
      </w:r>
    </w:p>
    <w:p w14:paraId="3994E5AC">
      <w:pPr>
        <w:spacing w:line="330" w:lineRule="exact"/>
        <w:rPr>
          <w:rStyle w:val="422"/>
          <w:rFonts w:hint="eastAsia" w:ascii="宋体" w:hAnsi="宋体" w:eastAsia="宋体" w:cs="宋体"/>
          <w:sz w:val="21"/>
          <w:szCs w:val="21"/>
          <w:highlight w:val="none"/>
        </w:rPr>
      </w:pPr>
      <w:bookmarkStart w:id="206" w:name="_Toc224103385"/>
      <w:bookmarkStart w:id="207" w:name="_Toc200513199"/>
      <w:bookmarkStart w:id="208" w:name="_Toc2991"/>
      <w:bookmarkStart w:id="209" w:name="_Toc10129"/>
      <w:r>
        <w:rPr>
          <w:rStyle w:val="422"/>
          <w:rFonts w:hint="eastAsia" w:ascii="宋体" w:hAnsi="宋体" w:eastAsia="宋体" w:cs="宋体"/>
          <w:sz w:val="21"/>
          <w:szCs w:val="21"/>
          <w:highlight w:val="none"/>
        </w:rPr>
        <w:t>2.  评审标准</w:t>
      </w:r>
      <w:bookmarkEnd w:id="206"/>
      <w:bookmarkEnd w:id="207"/>
    </w:p>
    <w:bookmarkEnd w:id="208"/>
    <w:bookmarkEnd w:id="209"/>
    <w:p w14:paraId="4B885527">
      <w:pPr>
        <w:pStyle w:val="5"/>
        <w:spacing w:line="330" w:lineRule="exact"/>
        <w:rPr>
          <w:rFonts w:ascii="宋体" w:hAnsi="宋体" w:eastAsia="宋体"/>
          <w:highlight w:val="none"/>
        </w:rPr>
      </w:pPr>
      <w:bookmarkStart w:id="210" w:name="_Toc224103386"/>
      <w:bookmarkStart w:id="211" w:name="_Toc200513200"/>
      <w:r>
        <w:rPr>
          <w:rFonts w:hint="eastAsia" w:ascii="宋体" w:hAnsi="宋体" w:eastAsia="宋体"/>
          <w:highlight w:val="none"/>
        </w:rPr>
        <w:t>2.1  初步评审标准</w:t>
      </w:r>
      <w:bookmarkEnd w:id="210"/>
      <w:bookmarkEnd w:id="211"/>
    </w:p>
    <w:p w14:paraId="63D71253">
      <w:pPr>
        <w:autoSpaceDE w:val="0"/>
        <w:autoSpaceDN w:val="0"/>
        <w:adjustRightInd w:val="0"/>
        <w:snapToGrid w:val="0"/>
        <w:spacing w:line="330" w:lineRule="exact"/>
        <w:ind w:left="1" w:firstLine="535" w:firstLineChars="255"/>
        <w:jc w:val="left"/>
        <w:rPr>
          <w:rFonts w:hint="eastAsia" w:ascii="宋体" w:hAnsi="宋体"/>
          <w:kern w:val="0"/>
          <w:szCs w:val="21"/>
          <w:highlight w:val="none"/>
        </w:rPr>
      </w:pPr>
      <w:r>
        <w:rPr>
          <w:rFonts w:hint="eastAsia" w:ascii="宋体" w:hAnsi="宋体"/>
          <w:kern w:val="0"/>
          <w:szCs w:val="21"/>
          <w:highlight w:val="none"/>
        </w:rPr>
        <w:t>2.1.1  形式评审标准：见评标办法前附表。</w:t>
      </w:r>
    </w:p>
    <w:p w14:paraId="7DC55099">
      <w:pPr>
        <w:autoSpaceDE w:val="0"/>
        <w:autoSpaceDN w:val="0"/>
        <w:adjustRightInd w:val="0"/>
        <w:snapToGrid w:val="0"/>
        <w:spacing w:line="330" w:lineRule="exact"/>
        <w:ind w:left="1" w:firstLine="535" w:firstLineChars="255"/>
        <w:jc w:val="left"/>
        <w:rPr>
          <w:rFonts w:hint="eastAsia" w:ascii="宋体" w:hAnsi="宋体"/>
          <w:kern w:val="0"/>
          <w:szCs w:val="21"/>
          <w:highlight w:val="none"/>
        </w:rPr>
      </w:pPr>
      <w:r>
        <w:rPr>
          <w:rFonts w:hint="eastAsia" w:ascii="宋体" w:hAnsi="宋体"/>
          <w:kern w:val="0"/>
          <w:szCs w:val="21"/>
          <w:highlight w:val="none"/>
        </w:rPr>
        <w:t>2.1.2  资格评审标准：见评标办法前附表。</w:t>
      </w:r>
    </w:p>
    <w:p w14:paraId="1CD559D3">
      <w:pPr>
        <w:autoSpaceDE w:val="0"/>
        <w:autoSpaceDN w:val="0"/>
        <w:adjustRightInd w:val="0"/>
        <w:snapToGrid w:val="0"/>
        <w:spacing w:line="330" w:lineRule="exact"/>
        <w:ind w:left="1" w:firstLine="535" w:firstLineChars="255"/>
        <w:jc w:val="left"/>
        <w:rPr>
          <w:rFonts w:hint="eastAsia" w:ascii="宋体" w:hAnsi="宋体"/>
          <w:kern w:val="0"/>
          <w:szCs w:val="21"/>
          <w:highlight w:val="none"/>
        </w:rPr>
      </w:pPr>
      <w:r>
        <w:rPr>
          <w:rFonts w:hint="eastAsia" w:ascii="宋体" w:hAnsi="宋体"/>
          <w:kern w:val="0"/>
          <w:szCs w:val="21"/>
          <w:highlight w:val="none"/>
        </w:rPr>
        <w:t>2.1.3  响应性评审标准：见评标办法前附表。</w:t>
      </w:r>
    </w:p>
    <w:p w14:paraId="27AA553E">
      <w:pPr>
        <w:spacing w:line="330" w:lineRule="exact"/>
        <w:rPr>
          <w:rFonts w:hint="eastAsia" w:ascii="宋体" w:hAnsi="宋体"/>
          <w:b/>
          <w:sz w:val="24"/>
          <w:highlight w:val="none"/>
        </w:rPr>
      </w:pPr>
      <w:bookmarkStart w:id="212" w:name="_Toc224103387"/>
      <w:bookmarkStart w:id="213" w:name="_Toc200513201"/>
      <w:r>
        <w:rPr>
          <w:rFonts w:hint="eastAsia" w:ascii="宋体" w:hAnsi="宋体"/>
          <w:b/>
          <w:sz w:val="24"/>
          <w:highlight w:val="none"/>
        </w:rPr>
        <w:t>2.2 详细评审标准</w:t>
      </w:r>
    </w:p>
    <w:p w14:paraId="3821A389">
      <w:pPr>
        <w:spacing w:line="330" w:lineRule="exact"/>
        <w:ind w:firstLine="420" w:firstLineChars="200"/>
        <w:rPr>
          <w:rFonts w:hint="eastAsia" w:ascii="宋体" w:hAnsi="宋体"/>
          <w:highlight w:val="none"/>
        </w:rPr>
      </w:pPr>
      <w:r>
        <w:rPr>
          <w:rFonts w:hint="eastAsia" w:ascii="宋体" w:hAnsi="宋体"/>
          <w:highlight w:val="none"/>
        </w:rPr>
        <w:t>2.2.1 项目评审方法：见评标办法前附表；</w:t>
      </w:r>
    </w:p>
    <w:p w14:paraId="54984C99">
      <w:pPr>
        <w:spacing w:line="330" w:lineRule="exact"/>
        <w:ind w:firstLine="420" w:firstLineChars="200"/>
        <w:rPr>
          <w:rFonts w:hint="eastAsia" w:ascii="宋体" w:hAnsi="宋体"/>
          <w:highlight w:val="none"/>
        </w:rPr>
      </w:pPr>
      <w:r>
        <w:rPr>
          <w:rFonts w:hint="eastAsia" w:ascii="宋体" w:hAnsi="宋体"/>
          <w:highlight w:val="none"/>
        </w:rPr>
        <w:t xml:space="preserve">2.2.2 </w:t>
      </w:r>
      <w:r>
        <w:rPr>
          <w:rFonts w:hint="eastAsia" w:ascii="宋体" w:hAnsi="宋体"/>
          <w:szCs w:val="21"/>
          <w:highlight w:val="none"/>
        </w:rPr>
        <w:t>评标基准价计算：</w:t>
      </w:r>
      <w:r>
        <w:rPr>
          <w:rFonts w:hint="eastAsia" w:ascii="宋体" w:hAnsi="宋体"/>
          <w:highlight w:val="none"/>
        </w:rPr>
        <w:t>见评标办法前附表；</w:t>
      </w:r>
    </w:p>
    <w:p w14:paraId="0D7AB53A">
      <w:pPr>
        <w:spacing w:line="330" w:lineRule="exact"/>
        <w:ind w:firstLine="420" w:firstLineChars="200"/>
        <w:rPr>
          <w:rFonts w:hint="eastAsia" w:ascii="宋体" w:hAnsi="宋体"/>
          <w:highlight w:val="none"/>
        </w:rPr>
      </w:pPr>
      <w:r>
        <w:rPr>
          <w:rFonts w:hint="eastAsia" w:ascii="宋体" w:hAnsi="宋体"/>
          <w:highlight w:val="none"/>
        </w:rPr>
        <w:t>2.2.3详细评审：见评标办法前附表；</w:t>
      </w:r>
    </w:p>
    <w:bookmarkEnd w:id="212"/>
    <w:bookmarkEnd w:id="213"/>
    <w:p w14:paraId="60822637">
      <w:pPr>
        <w:spacing w:line="330" w:lineRule="exact"/>
        <w:rPr>
          <w:rStyle w:val="422"/>
          <w:rFonts w:hint="eastAsia" w:ascii="宋体" w:hAnsi="宋体" w:eastAsia="宋体" w:cs="宋体"/>
          <w:sz w:val="21"/>
          <w:szCs w:val="21"/>
          <w:highlight w:val="none"/>
        </w:rPr>
      </w:pPr>
      <w:bookmarkStart w:id="214" w:name="_Toc224103388"/>
      <w:bookmarkStart w:id="215" w:name="_Toc200513202"/>
      <w:bookmarkStart w:id="216" w:name="_Toc20171"/>
      <w:bookmarkStart w:id="217" w:name="_Toc26337"/>
      <w:r>
        <w:rPr>
          <w:rStyle w:val="422"/>
          <w:rFonts w:hint="eastAsia" w:ascii="宋体" w:hAnsi="宋体" w:eastAsia="宋体" w:cs="宋体"/>
          <w:sz w:val="21"/>
          <w:szCs w:val="21"/>
          <w:highlight w:val="none"/>
        </w:rPr>
        <w:t>3.  评标程序</w:t>
      </w:r>
      <w:bookmarkEnd w:id="214"/>
      <w:bookmarkEnd w:id="215"/>
    </w:p>
    <w:bookmarkEnd w:id="216"/>
    <w:bookmarkEnd w:id="217"/>
    <w:p w14:paraId="1CFAE5A7">
      <w:pPr>
        <w:pStyle w:val="5"/>
        <w:spacing w:line="330" w:lineRule="exact"/>
        <w:rPr>
          <w:rFonts w:hint="eastAsia" w:ascii="宋体" w:hAnsi="宋体" w:eastAsia="宋体"/>
          <w:highlight w:val="none"/>
        </w:rPr>
      </w:pPr>
      <w:bookmarkStart w:id="218" w:name="_Toc200513203"/>
      <w:bookmarkStart w:id="219" w:name="_Toc224103389"/>
      <w:r>
        <w:rPr>
          <w:rFonts w:hint="eastAsia" w:ascii="宋体" w:hAnsi="宋体" w:eastAsia="宋体"/>
          <w:highlight w:val="none"/>
        </w:rPr>
        <w:t>3.1  初步评审</w:t>
      </w:r>
      <w:bookmarkEnd w:id="218"/>
      <w:bookmarkEnd w:id="219"/>
    </w:p>
    <w:p w14:paraId="14E5D300">
      <w:pPr>
        <w:autoSpaceDE w:val="0"/>
        <w:autoSpaceDN w:val="0"/>
        <w:adjustRightInd w:val="0"/>
        <w:snapToGrid w:val="0"/>
        <w:spacing w:line="330" w:lineRule="exact"/>
        <w:ind w:left="1" w:firstLine="535" w:firstLineChars="255"/>
        <w:jc w:val="left"/>
        <w:rPr>
          <w:rFonts w:hint="eastAsia" w:ascii="宋体" w:hAnsi="宋体"/>
          <w:kern w:val="0"/>
          <w:szCs w:val="21"/>
          <w:highlight w:val="none"/>
        </w:rPr>
      </w:pPr>
      <w:r>
        <w:rPr>
          <w:rFonts w:ascii="宋体" w:hAnsi="宋体"/>
          <w:kern w:val="0"/>
          <w:szCs w:val="21"/>
          <w:highlight w:val="none"/>
        </w:rPr>
        <w:t>3.1.1</w:t>
      </w:r>
      <w:r>
        <w:rPr>
          <w:rFonts w:hint="eastAsia" w:ascii="宋体" w:hAnsi="宋体" w:cs="宋体"/>
          <w:kern w:val="0"/>
          <w:szCs w:val="21"/>
          <w:highlight w:val="none"/>
        </w:rPr>
        <w:t xml:space="preserve"> 评审小组</w:t>
      </w:r>
      <w:r>
        <w:rPr>
          <w:rFonts w:hint="eastAsia" w:ascii="宋体" w:hAnsi="宋体"/>
          <w:kern w:val="0"/>
          <w:szCs w:val="21"/>
          <w:highlight w:val="none"/>
        </w:rPr>
        <w:t>依据本章的标准对投标文件进行初步评审。有一项不符合评审标准的，作废标处理。</w:t>
      </w:r>
    </w:p>
    <w:p w14:paraId="7EDE1066">
      <w:pPr>
        <w:autoSpaceDE w:val="0"/>
        <w:autoSpaceDN w:val="0"/>
        <w:adjustRightInd w:val="0"/>
        <w:snapToGrid w:val="0"/>
        <w:spacing w:line="330" w:lineRule="exact"/>
        <w:ind w:left="1" w:firstLine="535" w:firstLineChars="255"/>
        <w:jc w:val="left"/>
        <w:rPr>
          <w:rFonts w:hint="eastAsia" w:ascii="宋体" w:hAnsi="宋体" w:cs="MingLiU"/>
          <w:kern w:val="0"/>
          <w:szCs w:val="21"/>
          <w:highlight w:val="none"/>
        </w:rPr>
      </w:pPr>
      <w:r>
        <w:rPr>
          <w:rFonts w:hint="eastAsia" w:ascii="宋体" w:hAnsi="宋体"/>
          <w:kern w:val="0"/>
          <w:szCs w:val="21"/>
          <w:highlight w:val="none"/>
        </w:rPr>
        <w:t>3.1.2 竞争性比选单位有以下情形之一的，其投标作废标处理：</w:t>
      </w:r>
      <w:r>
        <w:rPr>
          <w:rFonts w:hint="eastAsia" w:ascii="宋体" w:hAnsi="宋体" w:cs="MingLiU"/>
          <w:kern w:val="0"/>
          <w:szCs w:val="21"/>
          <w:highlight w:val="none"/>
        </w:rPr>
        <w:t>见“</w:t>
      </w:r>
      <w:r>
        <w:rPr>
          <w:rFonts w:hint="eastAsia" w:ascii="宋体" w:hAnsi="宋体"/>
          <w:szCs w:val="21"/>
          <w:highlight w:val="none"/>
        </w:rPr>
        <w:t>附件A：废标情况一览表</w:t>
      </w:r>
      <w:r>
        <w:rPr>
          <w:rFonts w:hint="eastAsia" w:ascii="宋体" w:hAnsi="宋体" w:cs="MingLiU"/>
          <w:kern w:val="0"/>
          <w:szCs w:val="21"/>
          <w:highlight w:val="none"/>
        </w:rPr>
        <w:t>”</w:t>
      </w:r>
      <w:r>
        <w:rPr>
          <w:rFonts w:hint="eastAsia" w:ascii="宋体" w:hAnsi="宋体"/>
          <w:highlight w:val="none"/>
        </w:rPr>
        <w:t>。</w:t>
      </w:r>
    </w:p>
    <w:p w14:paraId="3D229E64">
      <w:pPr>
        <w:autoSpaceDE w:val="0"/>
        <w:autoSpaceDN w:val="0"/>
        <w:adjustRightInd w:val="0"/>
        <w:snapToGrid w:val="0"/>
        <w:spacing w:line="330" w:lineRule="exact"/>
        <w:ind w:left="1" w:firstLine="535" w:firstLineChars="255"/>
        <w:jc w:val="left"/>
        <w:rPr>
          <w:rFonts w:hint="eastAsia" w:ascii="宋体" w:hAnsi="宋体"/>
          <w:kern w:val="0"/>
          <w:szCs w:val="21"/>
          <w:highlight w:val="none"/>
        </w:rPr>
      </w:pPr>
      <w:r>
        <w:rPr>
          <w:rFonts w:hint="eastAsia" w:ascii="宋体" w:hAnsi="宋体"/>
          <w:kern w:val="0"/>
          <w:szCs w:val="21"/>
          <w:highlight w:val="none"/>
        </w:rPr>
        <w:t>3.1.3</w:t>
      </w:r>
      <w:r>
        <w:rPr>
          <w:rFonts w:hint="eastAsia" w:ascii="宋体" w:hAnsi="宋体" w:cs="MingLiU"/>
          <w:kern w:val="0"/>
          <w:szCs w:val="21"/>
          <w:highlight w:val="none"/>
        </w:rPr>
        <w:t>（1）投标文件中的大写金额与小写金额不一致的，以大写金额为准；</w:t>
      </w:r>
    </w:p>
    <w:p w14:paraId="0E0269AA">
      <w:pPr>
        <w:autoSpaceDE w:val="0"/>
        <w:autoSpaceDN w:val="0"/>
        <w:adjustRightInd w:val="0"/>
        <w:snapToGrid w:val="0"/>
        <w:spacing w:line="330" w:lineRule="exact"/>
        <w:ind w:firstLine="1155" w:firstLineChars="550"/>
        <w:jc w:val="left"/>
        <w:rPr>
          <w:rFonts w:hint="eastAsia" w:ascii="宋体" w:hAnsi="宋体" w:cs="MingLiU"/>
          <w:kern w:val="0"/>
          <w:szCs w:val="21"/>
          <w:highlight w:val="none"/>
        </w:rPr>
      </w:pPr>
      <w:r>
        <w:rPr>
          <w:rFonts w:hint="eastAsia" w:ascii="宋体" w:hAnsi="宋体" w:cs="MingLiU"/>
          <w:kern w:val="0"/>
          <w:szCs w:val="21"/>
          <w:highlight w:val="none"/>
        </w:rPr>
        <w:t>（2）总价金额与依据单价计算出的结果必须一致。</w:t>
      </w:r>
    </w:p>
    <w:p w14:paraId="5E39C026">
      <w:pPr>
        <w:pStyle w:val="5"/>
        <w:spacing w:line="330" w:lineRule="exact"/>
        <w:rPr>
          <w:rFonts w:hint="eastAsia" w:ascii="宋体" w:hAnsi="宋体" w:eastAsia="宋体"/>
          <w:sz w:val="21"/>
          <w:szCs w:val="21"/>
          <w:highlight w:val="none"/>
        </w:rPr>
      </w:pPr>
      <w:bookmarkStart w:id="220" w:name="_Toc200513204"/>
      <w:bookmarkStart w:id="221" w:name="_Toc209605567"/>
      <w:r>
        <w:rPr>
          <w:rFonts w:hint="eastAsia" w:ascii="宋体" w:hAnsi="宋体" w:eastAsia="宋体"/>
          <w:sz w:val="21"/>
          <w:szCs w:val="21"/>
          <w:highlight w:val="none"/>
        </w:rPr>
        <w:t>3.2  详细评审</w:t>
      </w:r>
      <w:bookmarkEnd w:id="220"/>
      <w:bookmarkEnd w:id="221"/>
    </w:p>
    <w:p w14:paraId="1C436EDB">
      <w:pPr>
        <w:autoSpaceDE w:val="0"/>
        <w:autoSpaceDN w:val="0"/>
        <w:adjustRightInd w:val="0"/>
        <w:snapToGrid w:val="0"/>
        <w:spacing w:line="330" w:lineRule="exact"/>
        <w:ind w:left="1" w:firstLine="638" w:firstLineChars="304"/>
        <w:jc w:val="left"/>
        <w:rPr>
          <w:rFonts w:hint="eastAsia" w:ascii="宋体" w:hAnsi="宋体"/>
          <w:kern w:val="0"/>
          <w:szCs w:val="21"/>
          <w:highlight w:val="none"/>
        </w:rPr>
      </w:pPr>
      <w:r>
        <w:rPr>
          <w:rFonts w:hint="eastAsia" w:ascii="宋体" w:hAnsi="宋体"/>
          <w:kern w:val="0"/>
          <w:szCs w:val="21"/>
          <w:highlight w:val="none"/>
        </w:rPr>
        <w:t xml:space="preserve">3.2.1 </w:t>
      </w:r>
      <w:r>
        <w:rPr>
          <w:rFonts w:hint="eastAsia" w:ascii="宋体" w:hAnsi="宋体" w:cs="宋体"/>
          <w:kern w:val="0"/>
          <w:szCs w:val="21"/>
          <w:highlight w:val="none"/>
        </w:rPr>
        <w:t>评审小组</w:t>
      </w:r>
      <w:r>
        <w:rPr>
          <w:rFonts w:hint="eastAsia" w:ascii="宋体" w:hAnsi="宋体"/>
          <w:highlight w:val="none"/>
        </w:rPr>
        <w:t>按本章评标办法前附表规定的详细评审方法推荐中标候选人。</w:t>
      </w:r>
    </w:p>
    <w:p w14:paraId="669D3D7C">
      <w:pPr>
        <w:spacing w:line="330" w:lineRule="exact"/>
        <w:ind w:firstLine="630" w:firstLineChars="300"/>
        <w:rPr>
          <w:rFonts w:hint="eastAsia" w:ascii="宋体" w:hAnsi="宋体"/>
          <w:kern w:val="0"/>
          <w:szCs w:val="21"/>
          <w:highlight w:val="none"/>
        </w:rPr>
      </w:pPr>
      <w:r>
        <w:rPr>
          <w:rFonts w:hint="eastAsia" w:ascii="宋体" w:hAnsi="宋体"/>
          <w:kern w:val="0"/>
          <w:szCs w:val="21"/>
          <w:highlight w:val="none"/>
        </w:rPr>
        <w:t xml:space="preserve">3.2.2 </w:t>
      </w:r>
      <w:r>
        <w:rPr>
          <w:rFonts w:hint="eastAsia" w:ascii="宋体" w:hAnsi="宋体" w:cs="宋体"/>
          <w:kern w:val="0"/>
          <w:szCs w:val="21"/>
          <w:highlight w:val="none"/>
        </w:rPr>
        <w:t>评审小组</w:t>
      </w:r>
      <w:r>
        <w:rPr>
          <w:rFonts w:hint="eastAsia" w:ascii="宋体" w:hAnsi="宋体"/>
          <w:kern w:val="0"/>
          <w:szCs w:val="21"/>
          <w:highlight w:val="none"/>
        </w:rPr>
        <w:t>发现竞争性比选单位的报价明显低于其他投标报价，或者明显低于项目业主公布的最高限价，使得其投标报价可能低于其个别成本的，应当要求该竞争性比选单位做出书面说明并提供相应的证明材料。竞争性比选单位不能合理说明或者不能提供相应证明材料的，由</w:t>
      </w:r>
      <w:r>
        <w:rPr>
          <w:rFonts w:hint="eastAsia" w:ascii="宋体" w:hAnsi="宋体" w:cs="宋体"/>
          <w:kern w:val="0"/>
          <w:szCs w:val="21"/>
          <w:highlight w:val="none"/>
        </w:rPr>
        <w:t>评审小组</w:t>
      </w:r>
      <w:r>
        <w:rPr>
          <w:rFonts w:hint="eastAsia" w:ascii="宋体" w:hAnsi="宋体"/>
          <w:kern w:val="0"/>
          <w:szCs w:val="21"/>
          <w:highlight w:val="none"/>
        </w:rPr>
        <w:t>认定该竞争性比选单位以低于成本报价竞标，其投标作废标处理。</w:t>
      </w:r>
    </w:p>
    <w:p w14:paraId="7308BAB6">
      <w:pPr>
        <w:pStyle w:val="5"/>
        <w:spacing w:before="0" w:line="330" w:lineRule="exact"/>
        <w:rPr>
          <w:rFonts w:hint="eastAsia" w:ascii="宋体" w:hAnsi="宋体" w:eastAsia="宋体"/>
          <w:sz w:val="21"/>
          <w:szCs w:val="21"/>
          <w:highlight w:val="none"/>
        </w:rPr>
      </w:pPr>
      <w:bookmarkStart w:id="222" w:name="_Toc209605568"/>
      <w:bookmarkStart w:id="223" w:name="_Toc200513205"/>
      <w:r>
        <w:rPr>
          <w:rFonts w:hint="eastAsia" w:ascii="宋体" w:hAnsi="宋体" w:eastAsia="宋体"/>
          <w:sz w:val="21"/>
          <w:szCs w:val="21"/>
          <w:highlight w:val="none"/>
        </w:rPr>
        <w:t>3.3  投标文件的澄清和补正</w:t>
      </w:r>
      <w:bookmarkEnd w:id="222"/>
      <w:bookmarkEnd w:id="223"/>
    </w:p>
    <w:p w14:paraId="3CA30C22">
      <w:pPr>
        <w:autoSpaceDE w:val="0"/>
        <w:autoSpaceDN w:val="0"/>
        <w:adjustRightInd w:val="0"/>
        <w:snapToGrid w:val="0"/>
        <w:spacing w:line="330" w:lineRule="exact"/>
        <w:ind w:left="1" w:firstLine="535" w:firstLineChars="255"/>
        <w:jc w:val="left"/>
        <w:rPr>
          <w:rFonts w:hint="eastAsia" w:ascii="宋体" w:hAnsi="宋体"/>
          <w:kern w:val="0"/>
          <w:szCs w:val="21"/>
          <w:highlight w:val="none"/>
        </w:rPr>
      </w:pPr>
      <w:r>
        <w:rPr>
          <w:rFonts w:hint="eastAsia" w:ascii="宋体" w:hAnsi="宋体"/>
          <w:kern w:val="0"/>
          <w:szCs w:val="21"/>
          <w:highlight w:val="none"/>
        </w:rPr>
        <w:t>3.3.1  在评标过程中，</w:t>
      </w:r>
      <w:r>
        <w:rPr>
          <w:rFonts w:hint="eastAsia" w:ascii="宋体" w:hAnsi="宋体" w:cs="宋体"/>
          <w:kern w:val="0"/>
          <w:szCs w:val="21"/>
          <w:highlight w:val="none"/>
        </w:rPr>
        <w:t>评审小组</w:t>
      </w:r>
      <w:r>
        <w:rPr>
          <w:rFonts w:hint="eastAsia" w:ascii="宋体" w:hAnsi="宋体"/>
          <w:kern w:val="0"/>
          <w:szCs w:val="21"/>
          <w:highlight w:val="none"/>
        </w:rPr>
        <w:t>可以书面形式要求竞争性比选单位对所提交投标文件中不明确的内容进行书面澄清或说明，或者对细微偏差进行补正。</w:t>
      </w:r>
      <w:r>
        <w:rPr>
          <w:rFonts w:hint="eastAsia" w:ascii="宋体" w:hAnsi="宋体" w:cs="宋体"/>
          <w:kern w:val="0"/>
          <w:szCs w:val="21"/>
          <w:highlight w:val="none"/>
        </w:rPr>
        <w:t>评审小组</w:t>
      </w:r>
      <w:r>
        <w:rPr>
          <w:rFonts w:hint="eastAsia" w:ascii="宋体" w:hAnsi="宋体"/>
          <w:kern w:val="0"/>
          <w:szCs w:val="21"/>
          <w:highlight w:val="none"/>
        </w:rPr>
        <w:t>不接受竞争性比选单位主动提出的澄清、说明或补正。</w:t>
      </w:r>
    </w:p>
    <w:p w14:paraId="771719B9">
      <w:pPr>
        <w:autoSpaceDE w:val="0"/>
        <w:autoSpaceDN w:val="0"/>
        <w:adjustRightInd w:val="0"/>
        <w:snapToGrid w:val="0"/>
        <w:spacing w:line="330" w:lineRule="exact"/>
        <w:ind w:left="1" w:firstLine="535" w:firstLineChars="255"/>
        <w:jc w:val="left"/>
        <w:rPr>
          <w:rFonts w:hint="eastAsia" w:ascii="宋体" w:hAnsi="宋体"/>
          <w:kern w:val="0"/>
          <w:szCs w:val="21"/>
          <w:highlight w:val="none"/>
        </w:rPr>
      </w:pPr>
      <w:r>
        <w:rPr>
          <w:rFonts w:hint="eastAsia" w:ascii="宋体" w:hAnsi="宋体"/>
          <w:kern w:val="0"/>
          <w:szCs w:val="21"/>
          <w:highlight w:val="none"/>
        </w:rPr>
        <w:t>3.3.2  澄清、说明和补正不得改变投标文件的实质性内容。竞争性比选单位的书面澄清、说明和补正属于投标文件的组成部分。</w:t>
      </w:r>
    </w:p>
    <w:p w14:paraId="0D8D94B3">
      <w:pPr>
        <w:autoSpaceDE w:val="0"/>
        <w:autoSpaceDN w:val="0"/>
        <w:adjustRightInd w:val="0"/>
        <w:snapToGrid w:val="0"/>
        <w:spacing w:line="330" w:lineRule="exact"/>
        <w:ind w:left="1" w:firstLine="535" w:firstLineChars="255"/>
        <w:jc w:val="left"/>
        <w:rPr>
          <w:rFonts w:hint="eastAsia" w:ascii="宋体" w:hAnsi="宋体"/>
          <w:kern w:val="0"/>
          <w:szCs w:val="21"/>
          <w:highlight w:val="none"/>
        </w:rPr>
      </w:pPr>
      <w:r>
        <w:rPr>
          <w:rFonts w:hint="eastAsia" w:ascii="宋体" w:hAnsi="宋体"/>
          <w:kern w:val="0"/>
          <w:szCs w:val="21"/>
          <w:highlight w:val="none"/>
        </w:rPr>
        <w:t xml:space="preserve">3.3.3  </w:t>
      </w:r>
      <w:r>
        <w:rPr>
          <w:rFonts w:hint="eastAsia" w:ascii="宋体" w:hAnsi="宋体" w:cs="宋体"/>
          <w:kern w:val="0"/>
          <w:szCs w:val="21"/>
          <w:highlight w:val="none"/>
        </w:rPr>
        <w:t>评审小组</w:t>
      </w:r>
      <w:r>
        <w:rPr>
          <w:rFonts w:hint="eastAsia" w:ascii="宋体" w:hAnsi="宋体"/>
          <w:kern w:val="0"/>
          <w:szCs w:val="21"/>
          <w:highlight w:val="none"/>
        </w:rPr>
        <w:t>对竞争性比选单位提交的澄清、说明或补正有疑问的，可以要求竞争性比选单位进一步澄清、说明或补正，直至满足</w:t>
      </w:r>
      <w:r>
        <w:rPr>
          <w:rFonts w:hint="eastAsia" w:ascii="宋体" w:hAnsi="宋体" w:cs="宋体"/>
          <w:kern w:val="0"/>
          <w:szCs w:val="21"/>
          <w:highlight w:val="none"/>
        </w:rPr>
        <w:t>评审小组</w:t>
      </w:r>
      <w:r>
        <w:rPr>
          <w:rFonts w:hint="eastAsia" w:ascii="宋体" w:hAnsi="宋体"/>
          <w:kern w:val="0"/>
          <w:szCs w:val="21"/>
          <w:highlight w:val="none"/>
        </w:rPr>
        <w:t>的要求。</w:t>
      </w:r>
    </w:p>
    <w:p w14:paraId="4D6EDAB4">
      <w:pPr>
        <w:pStyle w:val="5"/>
        <w:spacing w:line="330" w:lineRule="exact"/>
        <w:rPr>
          <w:rFonts w:hint="eastAsia" w:ascii="宋体" w:hAnsi="宋体" w:eastAsia="宋体"/>
          <w:sz w:val="21"/>
          <w:szCs w:val="21"/>
          <w:highlight w:val="none"/>
        </w:rPr>
      </w:pPr>
      <w:bookmarkStart w:id="224" w:name="_Toc209605569"/>
      <w:bookmarkStart w:id="225" w:name="_Toc200513206"/>
      <w:r>
        <w:rPr>
          <w:rFonts w:hint="eastAsia" w:ascii="宋体" w:hAnsi="宋体" w:eastAsia="宋体"/>
          <w:sz w:val="21"/>
          <w:szCs w:val="21"/>
          <w:highlight w:val="none"/>
        </w:rPr>
        <w:t>3.4  评标结果</w:t>
      </w:r>
      <w:bookmarkEnd w:id="224"/>
      <w:bookmarkEnd w:id="225"/>
    </w:p>
    <w:p w14:paraId="695F79F4">
      <w:pPr>
        <w:autoSpaceDE w:val="0"/>
        <w:autoSpaceDN w:val="0"/>
        <w:adjustRightInd w:val="0"/>
        <w:snapToGrid w:val="0"/>
        <w:spacing w:line="330" w:lineRule="exact"/>
        <w:jc w:val="left"/>
        <w:rPr>
          <w:rFonts w:hint="eastAsia" w:ascii="宋体" w:hAnsi="宋体"/>
          <w:highlight w:val="none"/>
        </w:rPr>
      </w:pPr>
      <w:r>
        <w:rPr>
          <w:rFonts w:hint="eastAsia" w:ascii="宋体" w:hAnsi="宋体"/>
          <w:kern w:val="0"/>
          <w:szCs w:val="21"/>
          <w:highlight w:val="none"/>
        </w:rPr>
        <w:t xml:space="preserve">     </w:t>
      </w:r>
      <w:r>
        <w:rPr>
          <w:rFonts w:ascii="宋体" w:hAnsi="宋体"/>
          <w:kern w:val="0"/>
          <w:szCs w:val="21"/>
          <w:highlight w:val="none"/>
        </w:rPr>
        <w:t>3.</w:t>
      </w:r>
      <w:r>
        <w:rPr>
          <w:rFonts w:ascii="宋体" w:hAnsi="宋体"/>
          <w:spacing w:val="-1"/>
          <w:kern w:val="0"/>
          <w:szCs w:val="21"/>
          <w:highlight w:val="none"/>
        </w:rPr>
        <w:t>4</w:t>
      </w:r>
      <w:r>
        <w:rPr>
          <w:rFonts w:ascii="宋体" w:hAnsi="宋体"/>
          <w:kern w:val="0"/>
          <w:szCs w:val="21"/>
          <w:highlight w:val="none"/>
        </w:rPr>
        <w:t>.1</w:t>
      </w:r>
      <w:r>
        <w:rPr>
          <w:rFonts w:hint="eastAsia" w:ascii="宋体" w:hAnsi="宋体"/>
          <w:kern w:val="0"/>
          <w:szCs w:val="21"/>
          <w:highlight w:val="none"/>
        </w:rPr>
        <w:t xml:space="preserve">  </w:t>
      </w:r>
      <w:r>
        <w:rPr>
          <w:rFonts w:hint="eastAsia" w:ascii="宋体" w:hAnsi="宋体" w:cs="宋体"/>
          <w:kern w:val="0"/>
          <w:szCs w:val="21"/>
          <w:highlight w:val="none"/>
        </w:rPr>
        <w:t>评审小组</w:t>
      </w:r>
      <w:r>
        <w:rPr>
          <w:rFonts w:ascii="宋体" w:hAnsi="宋体"/>
          <w:highlight w:val="none"/>
        </w:rPr>
        <w:t>按</w:t>
      </w:r>
      <w:r>
        <w:rPr>
          <w:rFonts w:hint="eastAsia" w:ascii="宋体" w:hAnsi="宋体"/>
          <w:highlight w:val="none"/>
        </w:rPr>
        <w:t>本章评标办法前附表规定的详细评审方法推荐中标候选人</w:t>
      </w:r>
      <w:r>
        <w:rPr>
          <w:rFonts w:ascii="宋体" w:hAnsi="宋体"/>
          <w:highlight w:val="none"/>
        </w:rPr>
        <w:t>。</w:t>
      </w:r>
    </w:p>
    <w:p w14:paraId="0277E979">
      <w:pPr>
        <w:spacing w:line="330" w:lineRule="exact"/>
        <w:ind w:firstLine="318" w:firstLineChars="150"/>
        <w:rPr>
          <w:rFonts w:hint="eastAsia" w:ascii="宋体" w:hAnsi="宋体"/>
          <w:highlight w:val="none"/>
        </w:rPr>
      </w:pPr>
      <w:r>
        <w:rPr>
          <w:rFonts w:hint="eastAsia" w:ascii="宋体" w:hAnsi="宋体"/>
          <w:spacing w:val="1"/>
          <w:kern w:val="0"/>
          <w:highlight w:val="none"/>
        </w:rPr>
        <w:t xml:space="preserve">  </w:t>
      </w:r>
      <w:r>
        <w:rPr>
          <w:rFonts w:ascii="宋体" w:hAnsi="宋体"/>
          <w:spacing w:val="1"/>
          <w:kern w:val="0"/>
          <w:highlight w:val="none"/>
        </w:rPr>
        <w:t>3</w:t>
      </w:r>
      <w:r>
        <w:rPr>
          <w:rFonts w:ascii="宋体" w:hAnsi="宋体"/>
          <w:kern w:val="0"/>
          <w:highlight w:val="none"/>
        </w:rPr>
        <w:t xml:space="preserve">.4.2 </w:t>
      </w:r>
      <w:r>
        <w:rPr>
          <w:rFonts w:hint="eastAsia" w:ascii="宋体" w:hAnsi="宋体"/>
          <w:kern w:val="0"/>
          <w:highlight w:val="none"/>
        </w:rPr>
        <w:t xml:space="preserve"> </w:t>
      </w:r>
      <w:r>
        <w:rPr>
          <w:rFonts w:hint="eastAsia" w:ascii="宋体" w:hAnsi="宋体" w:cs="宋体"/>
          <w:kern w:val="0"/>
          <w:szCs w:val="21"/>
          <w:highlight w:val="none"/>
        </w:rPr>
        <w:t>评审小组</w:t>
      </w:r>
      <w:r>
        <w:rPr>
          <w:rFonts w:ascii="宋体" w:hAnsi="宋体"/>
          <w:highlight w:val="none"/>
        </w:rPr>
        <w:t>完成评标后，应当向项目业主提交书面评标报告。</w:t>
      </w:r>
      <w:r>
        <w:rPr>
          <w:rFonts w:hint="eastAsia" w:ascii="宋体" w:hAnsi="宋体"/>
          <w:highlight w:val="none"/>
        </w:rPr>
        <w:t>并由</w:t>
      </w:r>
      <w:r>
        <w:rPr>
          <w:rFonts w:hint="eastAsia" w:ascii="宋体" w:hAnsi="宋体" w:cs="宋体"/>
          <w:kern w:val="0"/>
          <w:szCs w:val="21"/>
          <w:highlight w:val="none"/>
        </w:rPr>
        <w:t>评审小组</w:t>
      </w:r>
      <w:r>
        <w:rPr>
          <w:rFonts w:hint="eastAsia" w:ascii="宋体" w:hAnsi="宋体"/>
          <w:highlight w:val="none"/>
        </w:rPr>
        <w:t>全体成员签字，</w:t>
      </w:r>
      <w:r>
        <w:rPr>
          <w:rFonts w:hint="eastAsia" w:ascii="宋体" w:hAnsi="宋体" w:cs="宋体"/>
          <w:kern w:val="0"/>
          <w:szCs w:val="21"/>
          <w:highlight w:val="none"/>
        </w:rPr>
        <w:t>评审小组</w:t>
      </w:r>
      <w:r>
        <w:rPr>
          <w:rFonts w:hint="eastAsia" w:ascii="宋体" w:hAnsi="宋体"/>
          <w:highlight w:val="none"/>
        </w:rPr>
        <w:t>成员拒绝在评标报告上签字且不陈述意见和理由的，视为同意评标结果。</w:t>
      </w:r>
    </w:p>
    <w:p w14:paraId="4FAFFF38">
      <w:pPr>
        <w:spacing w:line="360" w:lineRule="auto"/>
        <w:rPr>
          <w:rFonts w:hint="eastAsia" w:ascii="宋体" w:hAnsi="宋体" w:cs="宋体"/>
          <w:b/>
          <w:bCs/>
          <w:color w:val="auto"/>
          <w:sz w:val="21"/>
          <w:szCs w:val="21"/>
          <w:highlight w:val="none"/>
          <w:lang w:val="en-US" w:eastAsia="zh-CN"/>
        </w:rPr>
      </w:pPr>
      <w:r>
        <w:rPr>
          <w:rFonts w:hint="eastAsia" w:ascii="宋体" w:hAnsi="宋体" w:cs="宋体"/>
          <w:b/>
          <w:bCs/>
          <w:color w:val="auto"/>
          <w:sz w:val="21"/>
          <w:szCs w:val="21"/>
          <w:highlight w:val="none"/>
          <w:lang w:val="en-US" w:eastAsia="zh-CN"/>
        </w:rPr>
        <w:t>3.5  供应商变更</w:t>
      </w:r>
    </w:p>
    <w:p w14:paraId="515EFFA5">
      <w:pPr>
        <w:pStyle w:val="2"/>
        <w:rPr>
          <w:rFonts w:hint="default"/>
          <w:sz w:val="21"/>
          <w:szCs w:val="21"/>
          <w:lang w:val="en-US" w:eastAsia="zh-CN"/>
        </w:rPr>
      </w:pPr>
      <w:r>
        <w:rPr>
          <w:rFonts w:hint="eastAsia"/>
          <w:sz w:val="21"/>
          <w:szCs w:val="21"/>
          <w:lang w:val="en-US" w:eastAsia="zh-CN"/>
        </w:rPr>
        <w:t xml:space="preserve">   若第一中标候选人无法履约的，则按照评审结果推荐的排名下一位中标候选人为成交供应商。</w:t>
      </w:r>
    </w:p>
    <w:p w14:paraId="721C0D0A">
      <w:pPr>
        <w:spacing w:line="360" w:lineRule="auto"/>
        <w:rPr>
          <w:rFonts w:ascii="宋体" w:hAnsi="宋体" w:cs="宋体"/>
          <w:color w:val="auto"/>
          <w:highlight w:val="none"/>
        </w:rPr>
      </w:pPr>
    </w:p>
    <w:p w14:paraId="279FD8EC">
      <w:pPr>
        <w:rPr>
          <w:rFonts w:ascii="宋体" w:hAnsi="宋体" w:cs="宋体"/>
          <w:color w:val="auto"/>
          <w:szCs w:val="20"/>
          <w:highlight w:val="none"/>
        </w:rPr>
      </w:pPr>
    </w:p>
    <w:p w14:paraId="33643668">
      <w:pPr>
        <w:rPr>
          <w:rFonts w:ascii="宋体" w:hAnsi="宋体" w:cs="宋体"/>
          <w:color w:val="auto"/>
          <w:szCs w:val="20"/>
          <w:highlight w:val="none"/>
        </w:rPr>
      </w:pPr>
    </w:p>
    <w:p w14:paraId="73968AA9">
      <w:pPr>
        <w:rPr>
          <w:rFonts w:ascii="宋体" w:hAnsi="宋体" w:cs="宋体"/>
          <w:color w:val="auto"/>
          <w:szCs w:val="20"/>
          <w:highlight w:val="none"/>
        </w:rPr>
      </w:pPr>
    </w:p>
    <w:p w14:paraId="6B99099B">
      <w:pPr>
        <w:rPr>
          <w:color w:val="auto"/>
          <w:highlight w:val="none"/>
        </w:rPr>
      </w:pPr>
    </w:p>
    <w:bookmarkEnd w:id="200"/>
    <w:p w14:paraId="23E2B8C4">
      <w:pPr>
        <w:pStyle w:val="34"/>
        <w:spacing w:line="360" w:lineRule="auto"/>
        <w:rPr>
          <w:rFonts w:hAnsi="宋体" w:cs="宋体"/>
          <w:color w:val="auto"/>
          <w:sz w:val="24"/>
          <w:highlight w:val="none"/>
        </w:rPr>
      </w:pPr>
      <w:bookmarkStart w:id="226" w:name="_Toc230410480"/>
      <w:bookmarkStart w:id="227" w:name="_Toc277082627"/>
      <w:bookmarkStart w:id="228" w:name="_Toc224103477"/>
      <w:bookmarkStart w:id="229" w:name="A25"/>
      <w:r>
        <w:rPr>
          <w:rFonts w:hint="eastAsia" w:hAnsi="宋体" w:cs="宋体"/>
          <w:color w:val="auto"/>
          <w:sz w:val="24"/>
          <w:highlight w:val="none"/>
        </w:rPr>
        <w:t>否决投标情况一览表</w:t>
      </w:r>
      <w:bookmarkEnd w:id="226"/>
    </w:p>
    <w:bookmarkEnd w:id="227"/>
    <w:tbl>
      <w:tblPr>
        <w:tblStyle w:val="48"/>
        <w:tblW w:w="0" w:type="auto"/>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368"/>
        <w:gridCol w:w="1575"/>
        <w:gridCol w:w="6300"/>
      </w:tblGrid>
      <w:tr w14:paraId="79E10CC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51" w:hRule="atLeast"/>
        </w:trPr>
        <w:tc>
          <w:tcPr>
            <w:tcW w:w="1368" w:type="dxa"/>
            <w:noWrap w:val="0"/>
            <w:vAlign w:val="center"/>
          </w:tcPr>
          <w:p w14:paraId="427A5347">
            <w:pPr>
              <w:spacing w:line="400" w:lineRule="exact"/>
              <w:jc w:val="center"/>
              <w:rPr>
                <w:rFonts w:hint="eastAsia" w:ascii="宋体" w:hAnsi="宋体"/>
                <w:b/>
                <w:szCs w:val="21"/>
                <w:highlight w:val="none"/>
              </w:rPr>
            </w:pPr>
            <w:r>
              <w:rPr>
                <w:rFonts w:hint="eastAsia" w:ascii="宋体" w:hAnsi="宋体"/>
                <w:b/>
                <w:szCs w:val="21"/>
                <w:highlight w:val="none"/>
              </w:rPr>
              <w:t>比选文件</w:t>
            </w:r>
          </w:p>
          <w:p w14:paraId="38637BC6">
            <w:pPr>
              <w:spacing w:line="400" w:lineRule="exact"/>
              <w:jc w:val="center"/>
              <w:rPr>
                <w:rFonts w:ascii="宋体" w:hAnsi="宋体"/>
                <w:b/>
                <w:szCs w:val="21"/>
                <w:highlight w:val="none"/>
              </w:rPr>
            </w:pPr>
            <w:r>
              <w:rPr>
                <w:rFonts w:hint="eastAsia" w:ascii="宋体" w:hAnsi="宋体"/>
                <w:b/>
                <w:szCs w:val="21"/>
                <w:highlight w:val="none"/>
              </w:rPr>
              <w:t>章节号</w:t>
            </w:r>
          </w:p>
        </w:tc>
        <w:tc>
          <w:tcPr>
            <w:tcW w:w="1575" w:type="dxa"/>
            <w:noWrap w:val="0"/>
            <w:vAlign w:val="center"/>
          </w:tcPr>
          <w:p w14:paraId="2486758B">
            <w:pPr>
              <w:spacing w:line="400" w:lineRule="exact"/>
              <w:jc w:val="center"/>
              <w:rPr>
                <w:rFonts w:ascii="宋体" w:hAnsi="宋体"/>
                <w:b/>
                <w:szCs w:val="21"/>
                <w:highlight w:val="none"/>
              </w:rPr>
            </w:pPr>
            <w:r>
              <w:rPr>
                <w:rFonts w:hint="eastAsia" w:ascii="宋体" w:hAnsi="宋体"/>
                <w:b/>
                <w:szCs w:val="21"/>
                <w:highlight w:val="none"/>
              </w:rPr>
              <w:t>条款名称</w:t>
            </w:r>
          </w:p>
        </w:tc>
        <w:tc>
          <w:tcPr>
            <w:tcW w:w="6300" w:type="dxa"/>
            <w:noWrap w:val="0"/>
            <w:vAlign w:val="center"/>
          </w:tcPr>
          <w:p w14:paraId="36252466">
            <w:pPr>
              <w:spacing w:line="400" w:lineRule="exact"/>
              <w:jc w:val="center"/>
              <w:rPr>
                <w:rFonts w:ascii="宋体" w:hAnsi="宋体"/>
                <w:b/>
                <w:szCs w:val="21"/>
                <w:highlight w:val="none"/>
              </w:rPr>
            </w:pPr>
            <w:r>
              <w:rPr>
                <w:rFonts w:hint="eastAsia" w:ascii="宋体" w:hAnsi="宋体"/>
                <w:b/>
                <w:szCs w:val="21"/>
                <w:highlight w:val="none"/>
              </w:rPr>
              <w:t>废标条件</w:t>
            </w:r>
          </w:p>
        </w:tc>
      </w:tr>
      <w:tr w14:paraId="2D8ABD5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93" w:hRule="atLeast"/>
        </w:trPr>
        <w:tc>
          <w:tcPr>
            <w:tcW w:w="1368" w:type="dxa"/>
            <w:vMerge w:val="restart"/>
            <w:noWrap w:val="0"/>
            <w:vAlign w:val="center"/>
          </w:tcPr>
          <w:p w14:paraId="7F591D69">
            <w:pPr>
              <w:spacing w:line="400" w:lineRule="exact"/>
              <w:jc w:val="center"/>
              <w:rPr>
                <w:rFonts w:ascii="宋体" w:hAnsi="宋体"/>
                <w:szCs w:val="21"/>
                <w:highlight w:val="none"/>
              </w:rPr>
            </w:pPr>
            <w:r>
              <w:rPr>
                <w:rFonts w:hint="eastAsia" w:ascii="宋体" w:hAnsi="宋体"/>
                <w:szCs w:val="21"/>
                <w:highlight w:val="none"/>
              </w:rPr>
              <w:t>第二章</w:t>
            </w:r>
          </w:p>
        </w:tc>
        <w:tc>
          <w:tcPr>
            <w:tcW w:w="1575" w:type="dxa"/>
            <w:vMerge w:val="restart"/>
            <w:noWrap w:val="0"/>
            <w:vAlign w:val="center"/>
          </w:tcPr>
          <w:p w14:paraId="5726F773">
            <w:pPr>
              <w:snapToGrid w:val="0"/>
              <w:spacing w:line="400" w:lineRule="exact"/>
              <w:jc w:val="center"/>
              <w:rPr>
                <w:rFonts w:hint="eastAsia" w:ascii="宋体" w:hAnsi="宋体" w:cs="宋体"/>
                <w:kern w:val="0"/>
                <w:szCs w:val="21"/>
                <w:highlight w:val="none"/>
              </w:rPr>
            </w:pPr>
            <w:r>
              <w:rPr>
                <w:rFonts w:hint="eastAsia" w:ascii="宋体" w:hAnsi="宋体" w:cs="宋体"/>
                <w:kern w:val="0"/>
                <w:szCs w:val="21"/>
                <w:highlight w:val="none"/>
              </w:rPr>
              <w:t>投标报价、计价</w:t>
            </w:r>
          </w:p>
        </w:tc>
        <w:tc>
          <w:tcPr>
            <w:tcW w:w="6300" w:type="dxa"/>
            <w:noWrap w:val="0"/>
            <w:vAlign w:val="center"/>
          </w:tcPr>
          <w:p w14:paraId="112817FB">
            <w:pPr>
              <w:spacing w:line="400" w:lineRule="exact"/>
              <w:ind w:firstLine="420" w:firstLineChars="200"/>
              <w:rPr>
                <w:rFonts w:ascii="宋体" w:hAnsi="宋体"/>
                <w:szCs w:val="21"/>
                <w:highlight w:val="none"/>
              </w:rPr>
            </w:pPr>
            <w:r>
              <w:rPr>
                <w:rFonts w:hint="eastAsia" w:ascii="宋体" w:hAnsi="宋体"/>
                <w:szCs w:val="21"/>
                <w:highlight w:val="none"/>
              </w:rPr>
              <w:t>竞争性比选单位的报价</w:t>
            </w:r>
            <w:r>
              <w:rPr>
                <w:rFonts w:hint="eastAsia" w:ascii="宋体" w:hAnsi="宋体" w:cs="MingLiU"/>
                <w:snapToGrid w:val="0"/>
                <w:kern w:val="0"/>
                <w:szCs w:val="21"/>
                <w:highlight w:val="none"/>
              </w:rPr>
              <w:t>高于</w:t>
            </w:r>
            <w:r>
              <w:rPr>
                <w:rFonts w:hint="eastAsia" w:ascii="宋体" w:hAnsi="宋体"/>
                <w:szCs w:val="21"/>
                <w:highlight w:val="none"/>
              </w:rPr>
              <w:t>项目业主公布的相应最高限价的将被视为重大偏差。</w:t>
            </w:r>
          </w:p>
        </w:tc>
      </w:tr>
      <w:tr w14:paraId="4A3E38F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93" w:hRule="atLeast"/>
        </w:trPr>
        <w:tc>
          <w:tcPr>
            <w:tcW w:w="1368" w:type="dxa"/>
            <w:vMerge w:val="continue"/>
            <w:noWrap w:val="0"/>
            <w:vAlign w:val="top"/>
          </w:tcPr>
          <w:p w14:paraId="045C8A30">
            <w:pPr>
              <w:spacing w:line="400" w:lineRule="exact"/>
              <w:rPr>
                <w:rFonts w:ascii="宋体" w:hAnsi="宋体"/>
                <w:szCs w:val="21"/>
                <w:highlight w:val="none"/>
              </w:rPr>
            </w:pPr>
          </w:p>
        </w:tc>
        <w:tc>
          <w:tcPr>
            <w:tcW w:w="1575" w:type="dxa"/>
            <w:vMerge w:val="continue"/>
            <w:noWrap w:val="0"/>
            <w:vAlign w:val="top"/>
          </w:tcPr>
          <w:p w14:paraId="70F8E063">
            <w:pPr>
              <w:spacing w:line="400" w:lineRule="exact"/>
              <w:rPr>
                <w:rFonts w:ascii="宋体" w:hAnsi="宋体"/>
                <w:szCs w:val="21"/>
                <w:highlight w:val="none"/>
              </w:rPr>
            </w:pPr>
          </w:p>
        </w:tc>
        <w:tc>
          <w:tcPr>
            <w:tcW w:w="6300" w:type="dxa"/>
            <w:noWrap w:val="0"/>
            <w:vAlign w:val="center"/>
          </w:tcPr>
          <w:p w14:paraId="30BB5061">
            <w:pPr>
              <w:spacing w:line="400" w:lineRule="exact"/>
              <w:ind w:firstLine="420" w:firstLineChars="200"/>
              <w:rPr>
                <w:rFonts w:hint="eastAsia" w:ascii="宋体" w:hAnsi="宋体"/>
                <w:szCs w:val="21"/>
                <w:highlight w:val="none"/>
              </w:rPr>
            </w:pPr>
            <w:r>
              <w:rPr>
                <w:rFonts w:hint="eastAsia" w:ascii="宋体" w:hAnsi="宋体"/>
                <w:szCs w:val="21"/>
                <w:highlight w:val="none"/>
              </w:rPr>
              <w:t>投标函的投标总报价必须与所附工程量清单报价表所报总金额一致，竞争性比选单位不得采用总价百分比优惠（下浮）的方式进行投标报价，其优惠应直接体现在各项投标报价的综合单价中，否则将被视为重大偏差。</w:t>
            </w:r>
          </w:p>
        </w:tc>
      </w:tr>
      <w:tr w14:paraId="3D277F4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52" w:hRule="atLeast"/>
        </w:trPr>
        <w:tc>
          <w:tcPr>
            <w:tcW w:w="1368" w:type="dxa"/>
            <w:tcBorders>
              <w:bottom w:val="single" w:color="auto" w:sz="4" w:space="0"/>
            </w:tcBorders>
            <w:noWrap w:val="0"/>
            <w:vAlign w:val="center"/>
          </w:tcPr>
          <w:p w14:paraId="23EE2FAC">
            <w:pPr>
              <w:spacing w:line="400" w:lineRule="exact"/>
              <w:jc w:val="center"/>
              <w:rPr>
                <w:rFonts w:ascii="宋体" w:hAnsi="宋体"/>
                <w:szCs w:val="21"/>
                <w:highlight w:val="none"/>
              </w:rPr>
            </w:pPr>
            <w:r>
              <w:rPr>
                <w:rFonts w:hint="eastAsia" w:ascii="宋体" w:hAnsi="宋体"/>
                <w:szCs w:val="21"/>
                <w:highlight w:val="none"/>
              </w:rPr>
              <w:t>第二章</w:t>
            </w:r>
          </w:p>
        </w:tc>
        <w:tc>
          <w:tcPr>
            <w:tcW w:w="1575" w:type="dxa"/>
            <w:tcBorders>
              <w:bottom w:val="single" w:color="auto" w:sz="4" w:space="0"/>
            </w:tcBorders>
            <w:noWrap w:val="0"/>
            <w:vAlign w:val="center"/>
          </w:tcPr>
          <w:p w14:paraId="13750E36">
            <w:pPr>
              <w:spacing w:line="400" w:lineRule="exact"/>
              <w:jc w:val="center"/>
              <w:rPr>
                <w:rFonts w:ascii="宋体" w:hAnsi="宋体"/>
                <w:szCs w:val="21"/>
                <w:highlight w:val="none"/>
              </w:rPr>
            </w:pPr>
            <w:r>
              <w:rPr>
                <w:rFonts w:hint="eastAsia" w:ascii="宋体" w:hAnsi="宋体"/>
                <w:szCs w:val="21"/>
                <w:highlight w:val="none"/>
              </w:rPr>
              <w:t>投标文件份数、装订要求</w:t>
            </w:r>
          </w:p>
        </w:tc>
        <w:tc>
          <w:tcPr>
            <w:tcW w:w="6300" w:type="dxa"/>
            <w:tcBorders>
              <w:bottom w:val="single" w:color="auto" w:sz="4" w:space="0"/>
            </w:tcBorders>
            <w:noWrap w:val="0"/>
            <w:vAlign w:val="top"/>
          </w:tcPr>
          <w:p w14:paraId="3EE93A3D">
            <w:pPr>
              <w:spacing w:line="400" w:lineRule="exact"/>
              <w:ind w:firstLine="420" w:firstLineChars="200"/>
              <w:rPr>
                <w:rFonts w:hint="eastAsia" w:ascii="宋体" w:hAnsi="宋体"/>
                <w:szCs w:val="21"/>
                <w:highlight w:val="none"/>
              </w:rPr>
            </w:pPr>
            <w:r>
              <w:rPr>
                <w:rFonts w:hint="eastAsia" w:ascii="宋体" w:hAnsi="宋体"/>
                <w:szCs w:val="21"/>
                <w:highlight w:val="none"/>
                <w:lang w:val="en-GB"/>
              </w:rPr>
              <w:t>投标文件</w:t>
            </w:r>
            <w:r>
              <w:rPr>
                <w:rFonts w:hint="eastAsia" w:ascii="宋体" w:hAnsi="宋体"/>
                <w:szCs w:val="21"/>
                <w:highlight w:val="none"/>
              </w:rPr>
              <w:t>未按比选文件的要求予以编制、装订、密封、加写标识或被提前开启的或</w:t>
            </w:r>
            <w:r>
              <w:rPr>
                <w:rFonts w:hint="eastAsia" w:ascii="宋体" w:hAnsi="宋体"/>
                <w:szCs w:val="21"/>
                <w:highlight w:val="none"/>
                <w:lang w:val="en-GB"/>
              </w:rPr>
              <w:t>投标文件</w:t>
            </w:r>
            <w:r>
              <w:rPr>
                <w:rFonts w:hint="eastAsia" w:ascii="宋体" w:hAnsi="宋体"/>
                <w:szCs w:val="21"/>
                <w:highlight w:val="none"/>
              </w:rPr>
              <w:t>未按本比选文件要求签字、盖章的。将被视为重大偏差。</w:t>
            </w:r>
          </w:p>
        </w:tc>
      </w:tr>
      <w:tr w14:paraId="4A160FE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85" w:hRule="atLeast"/>
        </w:trPr>
        <w:tc>
          <w:tcPr>
            <w:tcW w:w="1368" w:type="dxa"/>
            <w:tcBorders>
              <w:top w:val="single" w:color="auto" w:sz="4" w:space="0"/>
            </w:tcBorders>
            <w:noWrap w:val="0"/>
            <w:vAlign w:val="center"/>
          </w:tcPr>
          <w:p w14:paraId="58F09547">
            <w:pPr>
              <w:spacing w:line="400" w:lineRule="exact"/>
              <w:jc w:val="center"/>
              <w:rPr>
                <w:rFonts w:hint="eastAsia" w:ascii="宋体" w:hAnsi="宋体"/>
                <w:szCs w:val="21"/>
                <w:highlight w:val="none"/>
              </w:rPr>
            </w:pPr>
            <w:r>
              <w:rPr>
                <w:rFonts w:hint="eastAsia" w:ascii="宋体" w:hAnsi="宋体"/>
                <w:szCs w:val="21"/>
                <w:highlight w:val="none"/>
              </w:rPr>
              <w:t>第二章</w:t>
            </w:r>
          </w:p>
        </w:tc>
        <w:tc>
          <w:tcPr>
            <w:tcW w:w="1575" w:type="dxa"/>
            <w:tcBorders>
              <w:top w:val="single" w:color="auto" w:sz="4" w:space="0"/>
            </w:tcBorders>
            <w:noWrap w:val="0"/>
            <w:vAlign w:val="center"/>
          </w:tcPr>
          <w:p w14:paraId="584A3037">
            <w:pPr>
              <w:spacing w:line="400" w:lineRule="exact"/>
              <w:jc w:val="center"/>
              <w:rPr>
                <w:rFonts w:hint="eastAsia" w:ascii="宋体" w:hAnsi="宋体"/>
                <w:szCs w:val="21"/>
                <w:highlight w:val="none"/>
              </w:rPr>
            </w:pPr>
            <w:r>
              <w:rPr>
                <w:rFonts w:hint="eastAsia" w:ascii="宋体" w:hAnsi="宋体"/>
                <w:szCs w:val="21"/>
                <w:highlight w:val="none"/>
              </w:rPr>
              <w:t>投标文件的密封和标记</w:t>
            </w:r>
          </w:p>
        </w:tc>
        <w:tc>
          <w:tcPr>
            <w:tcW w:w="6300" w:type="dxa"/>
            <w:tcBorders>
              <w:top w:val="single" w:color="auto" w:sz="4" w:space="0"/>
            </w:tcBorders>
            <w:noWrap w:val="0"/>
            <w:vAlign w:val="top"/>
          </w:tcPr>
          <w:p w14:paraId="1D415EB6">
            <w:pPr>
              <w:spacing w:line="400" w:lineRule="exact"/>
              <w:ind w:firstLine="420" w:firstLineChars="200"/>
              <w:rPr>
                <w:rFonts w:hint="eastAsia" w:ascii="宋体" w:hAnsi="宋体"/>
                <w:szCs w:val="21"/>
                <w:highlight w:val="none"/>
                <w:lang w:val="en-GB"/>
              </w:rPr>
            </w:pPr>
            <w:r>
              <w:rPr>
                <w:rFonts w:hint="eastAsia" w:ascii="宋体" w:hAnsi="宋体"/>
                <w:szCs w:val="21"/>
                <w:highlight w:val="none"/>
              </w:rPr>
              <w:t>竞争性比选单位未按比选文件规定</w:t>
            </w:r>
            <w:r>
              <w:rPr>
                <w:rFonts w:ascii="宋体" w:hAnsi="宋体"/>
                <w:szCs w:val="21"/>
                <w:highlight w:val="none"/>
              </w:rPr>
              <w:t>密封</w:t>
            </w:r>
            <w:r>
              <w:rPr>
                <w:rFonts w:hint="eastAsia" w:ascii="宋体" w:hAnsi="宋体"/>
                <w:szCs w:val="21"/>
                <w:highlight w:val="none"/>
              </w:rPr>
              <w:t>或标识、签字、</w:t>
            </w:r>
            <w:r>
              <w:rPr>
                <w:rFonts w:ascii="宋体" w:hAnsi="宋体"/>
                <w:szCs w:val="21"/>
                <w:highlight w:val="none"/>
              </w:rPr>
              <w:t>盖章</w:t>
            </w:r>
            <w:r>
              <w:rPr>
                <w:rFonts w:hint="eastAsia" w:ascii="宋体" w:hAnsi="宋体"/>
                <w:szCs w:val="21"/>
                <w:highlight w:val="none"/>
              </w:rPr>
              <w:t>不符合比选文件规定的</w:t>
            </w:r>
            <w:r>
              <w:rPr>
                <w:rFonts w:ascii="宋体" w:hAnsi="宋体"/>
                <w:szCs w:val="21"/>
                <w:highlight w:val="none"/>
              </w:rPr>
              <w:t>，</w:t>
            </w:r>
            <w:r>
              <w:rPr>
                <w:rFonts w:hint="eastAsia" w:ascii="宋体" w:hAnsi="宋体"/>
                <w:szCs w:val="21"/>
                <w:highlight w:val="none"/>
              </w:rPr>
              <w:t>其</w:t>
            </w:r>
            <w:r>
              <w:rPr>
                <w:rFonts w:ascii="宋体" w:hAnsi="宋体"/>
                <w:szCs w:val="21"/>
                <w:highlight w:val="none"/>
              </w:rPr>
              <w:t>投标文件</w:t>
            </w:r>
            <w:r>
              <w:rPr>
                <w:rFonts w:hint="eastAsia" w:ascii="宋体" w:hAnsi="宋体"/>
                <w:szCs w:val="21"/>
                <w:highlight w:val="none"/>
              </w:rPr>
              <w:t>将被视为重大偏差。</w:t>
            </w:r>
          </w:p>
        </w:tc>
      </w:tr>
      <w:tr w14:paraId="1159ED8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76" w:hRule="atLeast"/>
        </w:trPr>
        <w:tc>
          <w:tcPr>
            <w:tcW w:w="1368" w:type="dxa"/>
            <w:vMerge w:val="restart"/>
            <w:noWrap w:val="0"/>
            <w:vAlign w:val="center"/>
          </w:tcPr>
          <w:p w14:paraId="2E43DF29">
            <w:pPr>
              <w:spacing w:line="400" w:lineRule="exact"/>
              <w:jc w:val="center"/>
              <w:rPr>
                <w:rFonts w:ascii="宋体" w:hAnsi="宋体"/>
                <w:szCs w:val="21"/>
                <w:highlight w:val="none"/>
              </w:rPr>
            </w:pPr>
            <w:r>
              <w:rPr>
                <w:rFonts w:hint="eastAsia" w:ascii="宋体" w:hAnsi="宋体"/>
                <w:szCs w:val="21"/>
                <w:highlight w:val="none"/>
              </w:rPr>
              <w:t>第三章</w:t>
            </w:r>
          </w:p>
        </w:tc>
        <w:tc>
          <w:tcPr>
            <w:tcW w:w="1575" w:type="dxa"/>
            <w:vMerge w:val="restart"/>
            <w:noWrap w:val="0"/>
            <w:vAlign w:val="center"/>
          </w:tcPr>
          <w:p w14:paraId="6DE00ABD">
            <w:pPr>
              <w:spacing w:line="400" w:lineRule="exact"/>
              <w:jc w:val="center"/>
              <w:rPr>
                <w:rFonts w:ascii="宋体" w:hAnsi="宋体"/>
                <w:szCs w:val="21"/>
                <w:highlight w:val="none"/>
              </w:rPr>
            </w:pPr>
            <w:r>
              <w:rPr>
                <w:rFonts w:hint="eastAsia" w:ascii="宋体" w:hAnsi="宋体"/>
                <w:szCs w:val="21"/>
                <w:highlight w:val="none"/>
              </w:rPr>
              <w:t>初步评审</w:t>
            </w:r>
          </w:p>
        </w:tc>
        <w:tc>
          <w:tcPr>
            <w:tcW w:w="6300" w:type="dxa"/>
            <w:noWrap w:val="0"/>
            <w:vAlign w:val="top"/>
          </w:tcPr>
          <w:p w14:paraId="152425E0">
            <w:pPr>
              <w:spacing w:line="400" w:lineRule="exact"/>
              <w:ind w:firstLine="420" w:firstLineChars="200"/>
              <w:rPr>
                <w:rFonts w:ascii="宋体" w:hAnsi="宋体"/>
                <w:szCs w:val="21"/>
                <w:highlight w:val="none"/>
              </w:rPr>
            </w:pPr>
            <w:r>
              <w:rPr>
                <w:rFonts w:hint="eastAsia" w:ascii="宋体" w:hAnsi="宋体" w:cs="宋体"/>
                <w:kern w:val="0"/>
                <w:szCs w:val="21"/>
                <w:highlight w:val="none"/>
              </w:rPr>
              <w:t>评审人员</w:t>
            </w:r>
            <w:r>
              <w:rPr>
                <w:rFonts w:hint="eastAsia" w:ascii="宋体" w:hAnsi="宋体" w:cs="MingLiU"/>
                <w:kern w:val="0"/>
                <w:szCs w:val="21"/>
                <w:highlight w:val="none"/>
              </w:rPr>
              <w:t>依据比选文件规定的标准对投标文件进行</w:t>
            </w:r>
            <w:r>
              <w:rPr>
                <w:rFonts w:hint="eastAsia" w:ascii="宋体" w:hAnsi="宋体"/>
                <w:szCs w:val="21"/>
                <w:highlight w:val="none"/>
              </w:rPr>
              <w:t>资格评审、形式评审和响应性评审</w:t>
            </w:r>
            <w:r>
              <w:rPr>
                <w:rFonts w:hint="eastAsia" w:ascii="宋体" w:hAnsi="宋体" w:cs="MingLiU"/>
                <w:kern w:val="0"/>
                <w:szCs w:val="21"/>
                <w:highlight w:val="none"/>
              </w:rPr>
              <w:t>，有一项不符合评审标准的，作废标处理。</w:t>
            </w:r>
          </w:p>
        </w:tc>
      </w:tr>
      <w:tr w14:paraId="216D7D8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368" w:type="dxa"/>
            <w:vMerge w:val="continue"/>
            <w:noWrap w:val="0"/>
            <w:vAlign w:val="top"/>
          </w:tcPr>
          <w:p w14:paraId="471DE8F3">
            <w:pPr>
              <w:spacing w:line="400" w:lineRule="exact"/>
              <w:rPr>
                <w:rFonts w:ascii="宋体" w:hAnsi="宋体"/>
                <w:szCs w:val="21"/>
                <w:highlight w:val="none"/>
              </w:rPr>
            </w:pPr>
          </w:p>
        </w:tc>
        <w:tc>
          <w:tcPr>
            <w:tcW w:w="1575" w:type="dxa"/>
            <w:vMerge w:val="continue"/>
            <w:noWrap w:val="0"/>
            <w:vAlign w:val="top"/>
          </w:tcPr>
          <w:p w14:paraId="7E56C8F7">
            <w:pPr>
              <w:spacing w:line="400" w:lineRule="exact"/>
              <w:rPr>
                <w:rFonts w:ascii="宋体" w:hAnsi="宋体"/>
                <w:szCs w:val="21"/>
                <w:highlight w:val="none"/>
              </w:rPr>
            </w:pPr>
          </w:p>
        </w:tc>
        <w:tc>
          <w:tcPr>
            <w:tcW w:w="6300" w:type="dxa"/>
            <w:noWrap w:val="0"/>
            <w:vAlign w:val="top"/>
          </w:tcPr>
          <w:p w14:paraId="0FEA28D4">
            <w:pPr>
              <w:autoSpaceDE w:val="0"/>
              <w:autoSpaceDN w:val="0"/>
              <w:adjustRightInd w:val="0"/>
              <w:snapToGrid w:val="0"/>
              <w:spacing w:line="400" w:lineRule="exact"/>
              <w:ind w:firstLine="420" w:firstLineChars="200"/>
              <w:jc w:val="left"/>
              <w:rPr>
                <w:rFonts w:ascii="宋体" w:hAnsi="宋体" w:cs="MingLiU"/>
                <w:kern w:val="0"/>
                <w:szCs w:val="21"/>
                <w:highlight w:val="none"/>
              </w:rPr>
            </w:pPr>
            <w:r>
              <w:rPr>
                <w:rFonts w:hint="eastAsia" w:ascii="宋体" w:hAnsi="宋体" w:cs="MingLiU"/>
                <w:kern w:val="0"/>
                <w:szCs w:val="21"/>
                <w:highlight w:val="none"/>
              </w:rPr>
              <w:t>竞争性比选单位有以下情形之一的，其投标作废标处理：</w:t>
            </w:r>
          </w:p>
          <w:p w14:paraId="14FEDE44">
            <w:pPr>
              <w:autoSpaceDE w:val="0"/>
              <w:autoSpaceDN w:val="0"/>
              <w:adjustRightInd w:val="0"/>
              <w:snapToGrid w:val="0"/>
              <w:spacing w:line="400" w:lineRule="exact"/>
              <w:jc w:val="left"/>
              <w:rPr>
                <w:rFonts w:ascii="宋体" w:hAnsi="宋体" w:cs="MingLiU"/>
                <w:kern w:val="0"/>
                <w:szCs w:val="21"/>
                <w:highlight w:val="none"/>
              </w:rPr>
            </w:pPr>
            <w:r>
              <w:rPr>
                <w:rFonts w:hint="eastAsia" w:ascii="宋体" w:hAnsi="宋体" w:cs="MingLiU"/>
                <w:kern w:val="0"/>
                <w:szCs w:val="21"/>
                <w:highlight w:val="none"/>
              </w:rPr>
              <w:t>（</w:t>
            </w:r>
            <w:r>
              <w:rPr>
                <w:rFonts w:ascii="宋体" w:hAnsi="宋体"/>
                <w:spacing w:val="1"/>
                <w:kern w:val="0"/>
                <w:szCs w:val="21"/>
                <w:highlight w:val="none"/>
              </w:rPr>
              <w:t>1</w:t>
            </w:r>
            <w:r>
              <w:rPr>
                <w:rFonts w:hint="eastAsia" w:ascii="宋体" w:hAnsi="宋体" w:cs="MingLiU"/>
                <w:kern w:val="0"/>
                <w:szCs w:val="21"/>
                <w:highlight w:val="none"/>
              </w:rPr>
              <w:t>）第二</w:t>
            </w:r>
            <w:r>
              <w:rPr>
                <w:rFonts w:hint="eastAsia" w:ascii="宋体" w:hAnsi="宋体" w:cs="MingLiU"/>
                <w:spacing w:val="-1"/>
                <w:kern w:val="0"/>
                <w:szCs w:val="21"/>
                <w:highlight w:val="none"/>
              </w:rPr>
              <w:t>章</w:t>
            </w:r>
            <w:r>
              <w:rPr>
                <w:rFonts w:hint="eastAsia" w:ascii="宋体" w:hAnsi="宋体" w:cs="MingLiU"/>
                <w:kern w:val="0"/>
                <w:szCs w:val="21"/>
                <w:highlight w:val="none"/>
              </w:rPr>
              <w:t>“竞争性比选单位须知”第</w:t>
            </w:r>
            <w:r>
              <w:rPr>
                <w:rFonts w:ascii="宋体" w:hAnsi="宋体"/>
                <w:kern w:val="0"/>
                <w:szCs w:val="21"/>
                <w:highlight w:val="none"/>
              </w:rPr>
              <w:t xml:space="preserve"> </w:t>
            </w:r>
            <w:r>
              <w:rPr>
                <w:rFonts w:ascii="宋体" w:hAnsi="宋体"/>
                <w:spacing w:val="1"/>
                <w:kern w:val="0"/>
                <w:szCs w:val="21"/>
                <w:highlight w:val="none"/>
              </w:rPr>
              <w:t>1</w:t>
            </w:r>
            <w:r>
              <w:rPr>
                <w:rFonts w:ascii="宋体" w:hAnsi="宋体"/>
                <w:spacing w:val="-1"/>
                <w:kern w:val="0"/>
                <w:szCs w:val="21"/>
                <w:highlight w:val="none"/>
              </w:rPr>
              <w:t>.</w:t>
            </w:r>
            <w:r>
              <w:rPr>
                <w:rFonts w:ascii="宋体" w:hAnsi="宋体"/>
                <w:spacing w:val="1"/>
                <w:kern w:val="0"/>
                <w:szCs w:val="21"/>
                <w:highlight w:val="none"/>
              </w:rPr>
              <w:t>4</w:t>
            </w:r>
            <w:r>
              <w:rPr>
                <w:rFonts w:ascii="宋体" w:hAnsi="宋体"/>
                <w:spacing w:val="-1"/>
                <w:kern w:val="0"/>
                <w:szCs w:val="21"/>
                <w:highlight w:val="none"/>
              </w:rPr>
              <w:t>.</w:t>
            </w:r>
            <w:r>
              <w:rPr>
                <w:rFonts w:hint="eastAsia" w:ascii="宋体" w:hAnsi="宋体"/>
                <w:kern w:val="0"/>
                <w:szCs w:val="21"/>
                <w:highlight w:val="none"/>
              </w:rPr>
              <w:t>3</w:t>
            </w:r>
            <w:r>
              <w:rPr>
                <w:rFonts w:ascii="宋体" w:hAnsi="宋体"/>
                <w:kern w:val="0"/>
                <w:szCs w:val="21"/>
                <w:highlight w:val="none"/>
              </w:rPr>
              <w:t xml:space="preserve"> </w:t>
            </w:r>
            <w:r>
              <w:rPr>
                <w:rFonts w:hint="eastAsia" w:ascii="宋体" w:hAnsi="宋体" w:cs="MingLiU"/>
                <w:kern w:val="0"/>
                <w:szCs w:val="21"/>
                <w:highlight w:val="none"/>
              </w:rPr>
              <w:t>项规定的任何一种情形的；</w:t>
            </w:r>
          </w:p>
          <w:p w14:paraId="7E67C068">
            <w:pPr>
              <w:autoSpaceDE w:val="0"/>
              <w:autoSpaceDN w:val="0"/>
              <w:adjustRightInd w:val="0"/>
              <w:snapToGrid w:val="0"/>
              <w:spacing w:line="400" w:lineRule="exact"/>
              <w:jc w:val="left"/>
              <w:rPr>
                <w:rFonts w:ascii="宋体" w:hAnsi="宋体" w:cs="MingLiU"/>
                <w:kern w:val="0"/>
                <w:szCs w:val="21"/>
                <w:highlight w:val="none"/>
              </w:rPr>
            </w:pPr>
            <w:r>
              <w:rPr>
                <w:rFonts w:hint="eastAsia" w:ascii="宋体" w:hAnsi="宋体" w:cs="MingLiU"/>
                <w:kern w:val="0"/>
                <w:szCs w:val="21"/>
                <w:highlight w:val="none"/>
              </w:rPr>
              <w:t>（</w:t>
            </w:r>
            <w:r>
              <w:rPr>
                <w:rFonts w:ascii="宋体" w:hAnsi="宋体"/>
                <w:spacing w:val="1"/>
                <w:kern w:val="0"/>
                <w:szCs w:val="21"/>
                <w:highlight w:val="none"/>
              </w:rPr>
              <w:t>2</w:t>
            </w:r>
            <w:r>
              <w:rPr>
                <w:rFonts w:hint="eastAsia" w:ascii="宋体" w:hAnsi="宋体" w:cs="MingLiU"/>
                <w:kern w:val="0"/>
                <w:szCs w:val="21"/>
                <w:highlight w:val="none"/>
              </w:rPr>
              <w:t>）串通</w:t>
            </w:r>
            <w:r>
              <w:rPr>
                <w:rFonts w:hint="eastAsia" w:ascii="宋体" w:hAnsi="宋体" w:cs="MingLiU"/>
                <w:spacing w:val="-1"/>
                <w:kern w:val="0"/>
                <w:szCs w:val="21"/>
                <w:highlight w:val="none"/>
              </w:rPr>
              <w:t>投</w:t>
            </w:r>
            <w:r>
              <w:rPr>
                <w:rFonts w:hint="eastAsia" w:ascii="宋体" w:hAnsi="宋体" w:cs="MingLiU"/>
                <w:kern w:val="0"/>
                <w:szCs w:val="21"/>
                <w:highlight w:val="none"/>
              </w:rPr>
              <w:t>标或弄虚作假或有其他违法行为的；</w:t>
            </w:r>
          </w:p>
          <w:p w14:paraId="0131DFD8">
            <w:pPr>
              <w:spacing w:line="400" w:lineRule="exact"/>
              <w:rPr>
                <w:rFonts w:ascii="宋体" w:hAnsi="宋体"/>
                <w:szCs w:val="21"/>
                <w:highlight w:val="none"/>
              </w:rPr>
            </w:pPr>
            <w:r>
              <w:rPr>
                <w:rFonts w:hint="eastAsia" w:ascii="宋体" w:hAnsi="宋体" w:cs="MingLiU"/>
                <w:kern w:val="0"/>
                <w:szCs w:val="21"/>
                <w:highlight w:val="none"/>
              </w:rPr>
              <w:t>（</w:t>
            </w:r>
            <w:r>
              <w:rPr>
                <w:rFonts w:ascii="宋体" w:hAnsi="宋体"/>
                <w:spacing w:val="1"/>
                <w:kern w:val="0"/>
                <w:szCs w:val="21"/>
                <w:highlight w:val="none"/>
              </w:rPr>
              <w:t>3</w:t>
            </w:r>
            <w:r>
              <w:rPr>
                <w:rFonts w:hint="eastAsia" w:ascii="宋体" w:hAnsi="宋体" w:cs="MingLiU"/>
                <w:kern w:val="0"/>
                <w:szCs w:val="21"/>
                <w:highlight w:val="none"/>
              </w:rPr>
              <w:t>）不按</w:t>
            </w:r>
            <w:r>
              <w:rPr>
                <w:rFonts w:hint="eastAsia" w:ascii="宋体" w:hAnsi="宋体" w:cs="宋体"/>
                <w:kern w:val="0"/>
                <w:szCs w:val="21"/>
                <w:highlight w:val="none"/>
              </w:rPr>
              <w:t>评审人员</w:t>
            </w:r>
            <w:r>
              <w:rPr>
                <w:rFonts w:hint="eastAsia" w:ascii="宋体" w:hAnsi="宋体" w:cs="MingLiU"/>
                <w:kern w:val="0"/>
                <w:szCs w:val="21"/>
                <w:highlight w:val="none"/>
              </w:rPr>
              <w:t>要求澄清、说明或补正的。</w:t>
            </w:r>
          </w:p>
        </w:tc>
      </w:tr>
      <w:tr w14:paraId="404D9FE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7" w:hRule="atLeast"/>
        </w:trPr>
        <w:tc>
          <w:tcPr>
            <w:tcW w:w="1368" w:type="dxa"/>
            <w:noWrap w:val="0"/>
            <w:vAlign w:val="center"/>
          </w:tcPr>
          <w:p w14:paraId="77DE04E2">
            <w:pPr>
              <w:spacing w:line="400" w:lineRule="exact"/>
              <w:jc w:val="center"/>
              <w:rPr>
                <w:rFonts w:hint="eastAsia" w:ascii="宋体" w:hAnsi="宋体"/>
                <w:szCs w:val="21"/>
                <w:highlight w:val="none"/>
              </w:rPr>
            </w:pPr>
            <w:r>
              <w:rPr>
                <w:rFonts w:hint="eastAsia" w:ascii="宋体" w:hAnsi="宋体"/>
                <w:szCs w:val="21"/>
                <w:highlight w:val="none"/>
              </w:rPr>
              <w:t>其他</w:t>
            </w:r>
          </w:p>
        </w:tc>
        <w:tc>
          <w:tcPr>
            <w:tcW w:w="7875" w:type="dxa"/>
            <w:gridSpan w:val="2"/>
            <w:noWrap w:val="0"/>
            <w:vAlign w:val="center"/>
          </w:tcPr>
          <w:p w14:paraId="70CFF50D">
            <w:pPr>
              <w:spacing w:line="400" w:lineRule="exact"/>
              <w:ind w:firstLine="210" w:firstLineChars="100"/>
              <w:rPr>
                <w:rFonts w:hint="eastAsia" w:ascii="宋体" w:hAnsi="宋体"/>
                <w:szCs w:val="21"/>
                <w:highlight w:val="none"/>
              </w:rPr>
            </w:pPr>
            <w:r>
              <w:rPr>
                <w:rFonts w:hint="eastAsia" w:ascii="宋体" w:hAnsi="宋体"/>
                <w:szCs w:val="21"/>
                <w:highlight w:val="none"/>
              </w:rPr>
              <w:t>投标文件有下列情形之一的，应当被拒绝接收或被当众退还或被认定为废标处理:</w:t>
            </w:r>
          </w:p>
          <w:p w14:paraId="2C0AA8BB">
            <w:pPr>
              <w:pStyle w:val="2"/>
              <w:snapToGrid w:val="0"/>
              <w:spacing w:line="400" w:lineRule="exact"/>
              <w:ind w:firstLine="420" w:firstLineChars="200"/>
              <w:rPr>
                <w:rFonts w:hint="eastAsia" w:ascii="宋体" w:hAnsi="宋体"/>
                <w:sz w:val="21"/>
                <w:szCs w:val="21"/>
                <w:highlight w:val="none"/>
              </w:rPr>
            </w:pPr>
            <w:r>
              <w:rPr>
                <w:rFonts w:hint="eastAsia" w:ascii="宋体" w:hAnsi="宋体"/>
                <w:sz w:val="21"/>
                <w:szCs w:val="21"/>
                <w:highlight w:val="none"/>
              </w:rPr>
              <w:t>（1）竞争性比选单位名称与资格审查投标申请人名称不一致的；</w:t>
            </w:r>
          </w:p>
          <w:p w14:paraId="23374318">
            <w:pPr>
              <w:pStyle w:val="2"/>
              <w:snapToGrid w:val="0"/>
              <w:spacing w:line="400" w:lineRule="exact"/>
              <w:ind w:firstLine="420" w:firstLineChars="200"/>
              <w:rPr>
                <w:rFonts w:hint="eastAsia" w:ascii="宋体" w:hAnsi="宋体"/>
                <w:sz w:val="21"/>
                <w:szCs w:val="21"/>
                <w:highlight w:val="none"/>
              </w:rPr>
            </w:pPr>
            <w:r>
              <w:rPr>
                <w:rFonts w:hint="eastAsia" w:ascii="宋体" w:hAnsi="宋体"/>
                <w:sz w:val="21"/>
                <w:szCs w:val="21"/>
                <w:highlight w:val="none"/>
              </w:rPr>
              <w:t>（2）投标文件未按规定的格式和要求填写，内容不全或者关键内容字迹模糊、无法辨认的；</w:t>
            </w:r>
          </w:p>
          <w:p w14:paraId="40004468">
            <w:pPr>
              <w:pStyle w:val="2"/>
              <w:snapToGrid w:val="0"/>
              <w:spacing w:line="400" w:lineRule="exact"/>
              <w:ind w:firstLine="420" w:firstLineChars="200"/>
              <w:rPr>
                <w:rFonts w:hint="eastAsia" w:ascii="宋体" w:hAnsi="宋体"/>
                <w:sz w:val="21"/>
                <w:szCs w:val="21"/>
                <w:highlight w:val="none"/>
              </w:rPr>
            </w:pPr>
            <w:r>
              <w:rPr>
                <w:rFonts w:hint="eastAsia" w:ascii="宋体" w:hAnsi="宋体"/>
                <w:sz w:val="21"/>
                <w:szCs w:val="21"/>
                <w:highlight w:val="none"/>
              </w:rPr>
              <w:t>（3）竞争性比选单位同时提交两份或者多份内容不同的投标文件的；</w:t>
            </w:r>
          </w:p>
          <w:p w14:paraId="40A63A49">
            <w:pPr>
              <w:pStyle w:val="2"/>
              <w:snapToGrid w:val="0"/>
              <w:spacing w:line="400" w:lineRule="exact"/>
              <w:ind w:firstLine="420" w:firstLineChars="200"/>
              <w:rPr>
                <w:rFonts w:hint="eastAsia" w:ascii="宋体" w:hAnsi="宋体"/>
                <w:sz w:val="21"/>
                <w:szCs w:val="21"/>
                <w:highlight w:val="none"/>
              </w:rPr>
            </w:pPr>
            <w:r>
              <w:rPr>
                <w:rFonts w:hint="eastAsia" w:ascii="宋体" w:hAnsi="宋体"/>
                <w:sz w:val="21"/>
                <w:szCs w:val="21"/>
                <w:highlight w:val="none"/>
              </w:rPr>
              <w:t>（4）投标函中未填报投标工期或填报的投标工期超过比选文件规定的工期的；</w:t>
            </w:r>
          </w:p>
          <w:p w14:paraId="0B80827D">
            <w:pPr>
              <w:spacing w:line="400" w:lineRule="exact"/>
              <w:ind w:firstLine="420" w:firstLineChars="200"/>
              <w:rPr>
                <w:rFonts w:hint="eastAsia" w:ascii="宋体" w:hAnsi="宋体"/>
                <w:szCs w:val="21"/>
                <w:highlight w:val="none"/>
              </w:rPr>
            </w:pPr>
            <w:r>
              <w:rPr>
                <w:rFonts w:hint="eastAsia" w:ascii="宋体" w:hAnsi="宋体"/>
                <w:szCs w:val="21"/>
                <w:highlight w:val="none"/>
              </w:rPr>
              <w:t>（5）投标文件附有项目业主不能接受的条件的；</w:t>
            </w:r>
          </w:p>
          <w:p w14:paraId="24E2BA9A">
            <w:pPr>
              <w:spacing w:line="400" w:lineRule="exact"/>
              <w:ind w:firstLine="420" w:firstLineChars="200"/>
              <w:rPr>
                <w:rFonts w:hint="eastAsia" w:ascii="宋体" w:hAnsi="宋体"/>
                <w:szCs w:val="21"/>
                <w:highlight w:val="none"/>
              </w:rPr>
            </w:pPr>
            <w:r>
              <w:rPr>
                <w:rFonts w:hint="eastAsia" w:ascii="宋体" w:hAnsi="宋体" w:cs="MingLiU"/>
                <w:snapToGrid w:val="0"/>
                <w:kern w:val="0"/>
                <w:szCs w:val="21"/>
                <w:highlight w:val="none"/>
              </w:rPr>
              <w:t>（6）比选文件中要求的投标文件的几个组成部分的任一部分被认定为无效的</w:t>
            </w:r>
            <w:r>
              <w:rPr>
                <w:rFonts w:hint="eastAsia" w:ascii="宋体" w:hAnsi="宋体"/>
                <w:szCs w:val="21"/>
                <w:highlight w:val="none"/>
              </w:rPr>
              <w:t>；</w:t>
            </w:r>
          </w:p>
          <w:p w14:paraId="6F6B8894">
            <w:pPr>
              <w:spacing w:line="400" w:lineRule="exact"/>
              <w:ind w:firstLine="420" w:firstLineChars="200"/>
              <w:rPr>
                <w:rFonts w:hint="eastAsia" w:ascii="宋体" w:hAnsi="宋体"/>
                <w:szCs w:val="21"/>
                <w:highlight w:val="none"/>
              </w:rPr>
            </w:pPr>
            <w:r>
              <w:rPr>
                <w:rFonts w:hint="eastAsia" w:ascii="宋体" w:hAnsi="宋体"/>
                <w:szCs w:val="21"/>
                <w:highlight w:val="none"/>
              </w:rPr>
              <w:t>（7）存在比选文件规定的重大偏差的情形的及依法应当否决的其它情形。</w:t>
            </w:r>
          </w:p>
        </w:tc>
      </w:tr>
    </w:tbl>
    <w:p w14:paraId="0F0FC5DC">
      <w:pPr>
        <w:rPr>
          <w:rFonts w:ascii="宋体" w:hAnsi="宋体" w:cs="宋体"/>
          <w:color w:val="auto"/>
          <w:highlight w:val="none"/>
        </w:rPr>
      </w:pPr>
      <w:r>
        <w:rPr>
          <w:rFonts w:hint="eastAsia" w:ascii="宋体" w:hAnsi="宋体" w:cs="宋体"/>
          <w:color w:val="auto"/>
          <w:highlight w:val="none"/>
        </w:rPr>
        <w:br w:type="page"/>
      </w:r>
    </w:p>
    <w:p w14:paraId="76AE5986">
      <w:pPr>
        <w:pStyle w:val="3"/>
        <w:spacing w:before="120" w:after="120"/>
        <w:jc w:val="center"/>
        <w:rPr>
          <w:rFonts w:ascii="宋体" w:hAnsi="宋体" w:cs="宋体"/>
          <w:bCs w:val="0"/>
          <w:color w:val="auto"/>
          <w:highlight w:val="none"/>
        </w:rPr>
      </w:pPr>
      <w:bookmarkStart w:id="230" w:name="_Toc27899"/>
      <w:r>
        <w:rPr>
          <w:rFonts w:hint="eastAsia" w:ascii="宋体" w:hAnsi="宋体" w:cs="宋体"/>
          <w:bCs w:val="0"/>
          <w:color w:val="auto"/>
          <w:highlight w:val="none"/>
        </w:rPr>
        <w:t>第四章 合同条款及格式</w:t>
      </w:r>
      <w:bookmarkEnd w:id="230"/>
    </w:p>
    <w:p w14:paraId="4933E1B2">
      <w:pPr>
        <w:spacing w:line="400" w:lineRule="exact"/>
        <w:rPr>
          <w:rFonts w:ascii="宋体" w:hAnsi="宋体" w:cs="宋体"/>
          <w:color w:val="auto"/>
          <w:highlight w:val="none"/>
        </w:rPr>
      </w:pPr>
    </w:p>
    <w:p w14:paraId="1ED6F62C">
      <w:pPr>
        <w:pStyle w:val="5"/>
        <w:jc w:val="center"/>
        <w:rPr>
          <w:rFonts w:ascii="宋体" w:hAnsi="宋体"/>
          <w:b w:val="0"/>
          <w:color w:val="auto"/>
          <w:sz w:val="44"/>
          <w:szCs w:val="44"/>
          <w:highlight w:val="none"/>
        </w:rPr>
      </w:pPr>
      <w:r>
        <w:rPr>
          <w:rFonts w:hint="eastAsia" w:ascii="宋体" w:hAnsi="宋体" w:cs="宋体"/>
          <w:b w:val="0"/>
          <w:color w:val="auto"/>
          <w:sz w:val="32"/>
          <w:highlight w:val="none"/>
        </w:rPr>
        <w:br w:type="page"/>
      </w:r>
      <w:bookmarkStart w:id="231" w:name="_Toc57820637"/>
      <w:bookmarkStart w:id="232" w:name="_Toc509218786"/>
      <w:bookmarkStart w:id="233" w:name="_Toc534185765"/>
      <w:bookmarkStart w:id="234" w:name="_Toc351203494"/>
      <w:r>
        <w:rPr>
          <w:rFonts w:ascii="宋体" w:hAnsi="宋体"/>
          <w:color w:val="auto"/>
          <w:sz w:val="44"/>
          <w:szCs w:val="44"/>
          <w:highlight w:val="none"/>
        </w:rPr>
        <w:t>第一部分 合同协议书</w:t>
      </w:r>
      <w:bookmarkEnd w:id="231"/>
      <w:bookmarkEnd w:id="232"/>
      <w:bookmarkEnd w:id="233"/>
    </w:p>
    <w:bookmarkEnd w:id="234"/>
    <w:p w14:paraId="3E0E588A">
      <w:pPr>
        <w:snapToGrid w:val="0"/>
        <w:spacing w:line="600" w:lineRule="exact"/>
        <w:ind w:firstLine="480" w:firstLineChars="200"/>
        <w:rPr>
          <w:rFonts w:ascii="宋体" w:hAnsi="宋体"/>
          <w:color w:val="auto"/>
          <w:sz w:val="24"/>
          <w:highlight w:val="none"/>
        </w:rPr>
      </w:pPr>
    </w:p>
    <w:p w14:paraId="217905D7">
      <w:pPr>
        <w:snapToGrid w:val="0"/>
        <w:spacing w:line="360" w:lineRule="auto"/>
        <w:ind w:firstLine="422" w:firstLineChars="200"/>
        <w:rPr>
          <w:rFonts w:ascii="宋体" w:hAnsi="宋体"/>
          <w:b/>
          <w:color w:val="auto"/>
          <w:szCs w:val="21"/>
          <w:highlight w:val="none"/>
          <w:u w:val="single"/>
        </w:rPr>
      </w:pPr>
      <w:r>
        <w:rPr>
          <w:rFonts w:hint="eastAsia" w:ascii="宋体" w:hAnsi="宋体"/>
          <w:b/>
          <w:color w:val="auto"/>
          <w:szCs w:val="21"/>
          <w:highlight w:val="none"/>
        </w:rPr>
        <w:t>发包人（全称）：</w:t>
      </w:r>
      <w:r>
        <w:rPr>
          <w:rFonts w:hint="eastAsia" w:ascii="宋体" w:hAnsi="宋体"/>
          <w:color w:val="auto"/>
          <w:szCs w:val="21"/>
          <w:highlight w:val="none"/>
          <w:u w:val="single"/>
        </w:rPr>
        <w:t xml:space="preserve">                             </w:t>
      </w:r>
    </w:p>
    <w:p w14:paraId="1DED5821">
      <w:pPr>
        <w:snapToGrid w:val="0"/>
        <w:spacing w:line="360" w:lineRule="auto"/>
        <w:ind w:firstLine="422" w:firstLineChars="200"/>
        <w:rPr>
          <w:rFonts w:ascii="宋体" w:hAnsi="宋体"/>
          <w:b/>
          <w:color w:val="auto"/>
          <w:szCs w:val="21"/>
          <w:highlight w:val="none"/>
          <w:u w:val="single"/>
        </w:rPr>
      </w:pPr>
      <w:r>
        <w:rPr>
          <w:rFonts w:hint="eastAsia" w:ascii="宋体" w:hAnsi="宋体"/>
          <w:b/>
          <w:color w:val="auto"/>
          <w:szCs w:val="21"/>
          <w:highlight w:val="none"/>
        </w:rPr>
        <w:t>承包人（全称）：</w:t>
      </w:r>
      <w:r>
        <w:rPr>
          <w:rFonts w:hint="eastAsia" w:ascii="宋体" w:hAnsi="宋体"/>
          <w:color w:val="auto"/>
          <w:szCs w:val="21"/>
          <w:highlight w:val="none"/>
          <w:u w:val="single"/>
        </w:rPr>
        <w:t xml:space="preserve">                                 </w:t>
      </w:r>
    </w:p>
    <w:p w14:paraId="54751881">
      <w:pPr>
        <w:spacing w:line="360" w:lineRule="auto"/>
        <w:ind w:firstLine="420" w:firstLineChars="200"/>
        <w:rPr>
          <w:rFonts w:ascii="宋体" w:hAnsi="宋体"/>
          <w:b/>
          <w:color w:val="auto"/>
          <w:szCs w:val="21"/>
          <w:highlight w:val="none"/>
          <w:u w:val="single"/>
        </w:rPr>
      </w:pPr>
      <w:r>
        <w:rPr>
          <w:rFonts w:hint="eastAsia" w:ascii="宋体" w:hAnsi="宋体"/>
          <w:color w:val="auto"/>
          <w:szCs w:val="21"/>
          <w:highlight w:val="none"/>
        </w:rPr>
        <w:t>根据《中华人民共和国民法典》、《中华人民共和国建筑法》及有关法律、法规规定，遵循平等、自愿、公平和诚实信用的原则，双方就</w:t>
      </w:r>
      <w:r>
        <w:rPr>
          <w:rFonts w:hint="eastAsia" w:ascii="宋体" w:hAnsi="宋体"/>
          <w:color w:val="auto"/>
          <w:szCs w:val="21"/>
          <w:highlight w:val="none"/>
          <w:u w:val="single"/>
        </w:rPr>
        <w:t xml:space="preserve">                           </w:t>
      </w:r>
      <w:r>
        <w:rPr>
          <w:rFonts w:hint="eastAsia" w:ascii="宋体" w:hAnsi="宋体"/>
          <w:color w:val="auto"/>
          <w:szCs w:val="21"/>
          <w:highlight w:val="none"/>
        </w:rPr>
        <w:t>工程施工及有关事项协商一致，共同达成如下协议：</w:t>
      </w:r>
    </w:p>
    <w:p w14:paraId="5BC686E0">
      <w:pPr>
        <w:pStyle w:val="6"/>
        <w:keepNext/>
        <w:keepLines/>
        <w:spacing w:before="120" w:after="120" w:line="360" w:lineRule="auto"/>
        <w:ind w:firstLine="420" w:firstLineChars="200"/>
        <w:jc w:val="both"/>
        <w:rPr>
          <w:color w:val="auto"/>
          <w:szCs w:val="21"/>
          <w:highlight w:val="none"/>
        </w:rPr>
      </w:pPr>
      <w:bookmarkStart w:id="235" w:name="_Toc532377166"/>
      <w:bookmarkStart w:id="236" w:name="_Toc351203481"/>
      <w:bookmarkStart w:id="237" w:name="_Toc532375573"/>
      <w:r>
        <w:rPr>
          <w:rFonts w:hint="eastAsia"/>
          <w:color w:val="auto"/>
          <w:szCs w:val="21"/>
          <w:highlight w:val="none"/>
        </w:rPr>
        <w:t>一、工程概况</w:t>
      </w:r>
      <w:bookmarkEnd w:id="235"/>
      <w:bookmarkEnd w:id="236"/>
      <w:bookmarkEnd w:id="237"/>
    </w:p>
    <w:p w14:paraId="0EC6C60A">
      <w:pPr>
        <w:snapToGrid w:val="0"/>
        <w:spacing w:line="360" w:lineRule="auto"/>
        <w:ind w:firstLine="420" w:firstLineChars="200"/>
        <w:rPr>
          <w:rFonts w:ascii="宋体" w:hAnsi="宋体"/>
          <w:color w:val="auto"/>
          <w:szCs w:val="21"/>
          <w:highlight w:val="none"/>
          <w:u w:val="single"/>
        </w:rPr>
      </w:pPr>
      <w:r>
        <w:rPr>
          <w:rFonts w:hint="eastAsia" w:ascii="宋体" w:hAnsi="宋体"/>
          <w:bCs/>
          <w:color w:val="auto"/>
          <w:szCs w:val="21"/>
          <w:highlight w:val="none"/>
        </w:rPr>
        <w:t>1.工程名称</w:t>
      </w:r>
      <w:r>
        <w:rPr>
          <w:rFonts w:hint="eastAsia" w:ascii="宋体" w:hAnsi="宋体"/>
          <w:color w:val="auto"/>
          <w:szCs w:val="21"/>
          <w:highlight w:val="none"/>
        </w:rPr>
        <w:t>：</w:t>
      </w:r>
      <w:r>
        <w:rPr>
          <w:rFonts w:hint="eastAsia" w:ascii="宋体" w:hAnsi="宋体"/>
          <w:color w:val="auto"/>
          <w:szCs w:val="21"/>
          <w:highlight w:val="none"/>
          <w:u w:val="single"/>
        </w:rPr>
        <w:t xml:space="preserve">                                 </w:t>
      </w:r>
      <w:r>
        <w:rPr>
          <w:rFonts w:hint="eastAsia" w:ascii="宋体" w:hAnsi="宋体"/>
          <w:color w:val="auto"/>
          <w:szCs w:val="21"/>
          <w:highlight w:val="none"/>
        </w:rPr>
        <w:t>。</w:t>
      </w:r>
    </w:p>
    <w:p w14:paraId="1D406D55">
      <w:pPr>
        <w:snapToGrid w:val="0"/>
        <w:spacing w:line="360" w:lineRule="auto"/>
        <w:ind w:firstLine="420" w:firstLineChars="200"/>
        <w:rPr>
          <w:rFonts w:ascii="宋体" w:hAnsi="宋体"/>
          <w:bCs/>
          <w:color w:val="auto"/>
          <w:szCs w:val="21"/>
          <w:highlight w:val="none"/>
        </w:rPr>
      </w:pPr>
      <w:r>
        <w:rPr>
          <w:rFonts w:hint="eastAsia" w:ascii="宋体" w:hAnsi="宋体"/>
          <w:bCs/>
          <w:color w:val="auto"/>
          <w:szCs w:val="21"/>
          <w:highlight w:val="none"/>
        </w:rPr>
        <w:t>2.工程地点：</w:t>
      </w:r>
      <w:r>
        <w:rPr>
          <w:rFonts w:hint="eastAsia" w:ascii="宋体" w:hAnsi="宋体"/>
          <w:color w:val="auto"/>
          <w:szCs w:val="21"/>
          <w:highlight w:val="none"/>
          <w:u w:val="single"/>
        </w:rPr>
        <w:t xml:space="preserve">                                 </w:t>
      </w:r>
      <w:r>
        <w:rPr>
          <w:rFonts w:hint="eastAsia" w:ascii="宋体" w:hAnsi="宋体"/>
          <w:color w:val="auto"/>
          <w:szCs w:val="21"/>
          <w:highlight w:val="none"/>
        </w:rPr>
        <w:t>。</w:t>
      </w:r>
    </w:p>
    <w:p w14:paraId="7804C34B">
      <w:pPr>
        <w:snapToGrid w:val="0"/>
        <w:spacing w:line="360" w:lineRule="auto"/>
        <w:ind w:firstLine="420" w:firstLineChars="200"/>
        <w:rPr>
          <w:rFonts w:ascii="宋体" w:hAnsi="宋体"/>
          <w:bCs/>
          <w:color w:val="auto"/>
          <w:szCs w:val="21"/>
          <w:highlight w:val="none"/>
        </w:rPr>
      </w:pPr>
      <w:r>
        <w:rPr>
          <w:rFonts w:hint="eastAsia" w:ascii="宋体" w:hAnsi="宋体"/>
          <w:bCs/>
          <w:color w:val="auto"/>
          <w:szCs w:val="21"/>
          <w:highlight w:val="none"/>
        </w:rPr>
        <w:t>3.工程立项批准文号：</w:t>
      </w:r>
      <w:r>
        <w:rPr>
          <w:rFonts w:hint="eastAsia" w:ascii="宋体" w:hAnsi="宋体"/>
          <w:color w:val="auto"/>
          <w:szCs w:val="21"/>
          <w:highlight w:val="none"/>
          <w:u w:val="single"/>
        </w:rPr>
        <w:t xml:space="preserve">                        </w:t>
      </w:r>
      <w:r>
        <w:rPr>
          <w:rFonts w:hint="eastAsia" w:ascii="宋体" w:hAnsi="宋体"/>
          <w:bCs/>
          <w:color w:val="auto"/>
          <w:szCs w:val="21"/>
          <w:highlight w:val="none"/>
        </w:rPr>
        <w:t>。</w:t>
      </w:r>
    </w:p>
    <w:p w14:paraId="4A2D10A2">
      <w:pPr>
        <w:snapToGrid w:val="0"/>
        <w:spacing w:line="360" w:lineRule="auto"/>
        <w:ind w:firstLine="420" w:firstLineChars="200"/>
        <w:rPr>
          <w:rFonts w:ascii="宋体" w:hAnsi="宋体"/>
          <w:bCs/>
          <w:color w:val="auto"/>
          <w:szCs w:val="21"/>
          <w:highlight w:val="none"/>
        </w:rPr>
      </w:pPr>
      <w:r>
        <w:rPr>
          <w:rFonts w:hint="eastAsia" w:ascii="宋体" w:hAnsi="宋体"/>
          <w:bCs/>
          <w:color w:val="auto"/>
          <w:szCs w:val="21"/>
          <w:highlight w:val="none"/>
        </w:rPr>
        <w:t>4.资金来源：</w:t>
      </w:r>
      <w:r>
        <w:rPr>
          <w:rFonts w:hint="eastAsia" w:ascii="宋体" w:hAnsi="宋体"/>
          <w:color w:val="auto"/>
          <w:szCs w:val="21"/>
          <w:highlight w:val="none"/>
          <w:u w:val="single"/>
        </w:rPr>
        <w:t xml:space="preserve">                                 </w:t>
      </w:r>
      <w:r>
        <w:rPr>
          <w:rFonts w:hint="eastAsia" w:ascii="宋体" w:hAnsi="宋体"/>
          <w:color w:val="auto"/>
          <w:szCs w:val="21"/>
          <w:highlight w:val="none"/>
        </w:rPr>
        <w:t>。</w:t>
      </w:r>
    </w:p>
    <w:p w14:paraId="5447CE7B">
      <w:pPr>
        <w:snapToGrid w:val="0"/>
        <w:spacing w:line="360" w:lineRule="auto"/>
        <w:ind w:firstLine="420" w:firstLineChars="200"/>
        <w:rPr>
          <w:rFonts w:ascii="宋体" w:hAnsi="宋体"/>
          <w:bCs/>
          <w:color w:val="auto"/>
          <w:szCs w:val="21"/>
          <w:highlight w:val="none"/>
        </w:rPr>
      </w:pPr>
      <w:r>
        <w:rPr>
          <w:rFonts w:hint="eastAsia" w:ascii="宋体" w:hAnsi="宋体"/>
          <w:bCs/>
          <w:color w:val="auto"/>
          <w:szCs w:val="21"/>
          <w:highlight w:val="none"/>
        </w:rPr>
        <w:t>5.工程内容：</w:t>
      </w:r>
      <w:r>
        <w:rPr>
          <w:rFonts w:hint="eastAsia" w:ascii="宋体" w:hAnsi="宋体"/>
          <w:color w:val="auto"/>
          <w:szCs w:val="21"/>
          <w:highlight w:val="none"/>
          <w:u w:val="single"/>
        </w:rPr>
        <w:t xml:space="preserve">                                 </w:t>
      </w:r>
      <w:r>
        <w:rPr>
          <w:rFonts w:hint="eastAsia" w:ascii="宋体" w:hAnsi="宋体"/>
          <w:color w:val="auto"/>
          <w:szCs w:val="21"/>
          <w:highlight w:val="none"/>
        </w:rPr>
        <w:t>。</w:t>
      </w:r>
    </w:p>
    <w:p w14:paraId="7871CAF6">
      <w:pPr>
        <w:snapToGrid w:val="0"/>
        <w:spacing w:line="360" w:lineRule="auto"/>
        <w:ind w:firstLine="420" w:firstLineChars="200"/>
        <w:jc w:val="left"/>
        <w:rPr>
          <w:rFonts w:ascii="宋体" w:hAnsi="宋体"/>
          <w:bCs/>
          <w:color w:val="auto"/>
          <w:szCs w:val="21"/>
          <w:highlight w:val="none"/>
        </w:rPr>
      </w:pPr>
      <w:r>
        <w:rPr>
          <w:rFonts w:hint="eastAsia" w:ascii="宋体" w:hAnsi="宋体"/>
          <w:bCs/>
          <w:color w:val="auto"/>
          <w:szCs w:val="21"/>
          <w:highlight w:val="none"/>
        </w:rPr>
        <w:t>6.工程承包范围：</w:t>
      </w:r>
      <w:r>
        <w:rPr>
          <w:rFonts w:hint="eastAsia" w:ascii="宋体" w:hAnsi="宋体"/>
          <w:color w:val="auto"/>
          <w:szCs w:val="21"/>
          <w:highlight w:val="none"/>
          <w:u w:val="single"/>
        </w:rPr>
        <w:t xml:space="preserve">                     </w:t>
      </w:r>
      <w:r>
        <w:rPr>
          <w:rFonts w:hint="eastAsia" w:ascii="宋体" w:hAnsi="宋体"/>
          <w:color w:val="auto"/>
          <w:szCs w:val="21"/>
          <w:highlight w:val="none"/>
        </w:rPr>
        <w:t>。</w:t>
      </w:r>
    </w:p>
    <w:p w14:paraId="01E3530C">
      <w:pPr>
        <w:pStyle w:val="6"/>
        <w:keepNext/>
        <w:keepLines/>
        <w:spacing w:before="120" w:after="120" w:line="360" w:lineRule="auto"/>
        <w:ind w:firstLine="420" w:firstLineChars="200"/>
        <w:jc w:val="both"/>
        <w:rPr>
          <w:color w:val="auto"/>
          <w:szCs w:val="21"/>
          <w:highlight w:val="none"/>
        </w:rPr>
      </w:pPr>
      <w:bookmarkStart w:id="238" w:name="_Toc532375574"/>
      <w:bookmarkStart w:id="239" w:name="_Toc532377167"/>
      <w:bookmarkStart w:id="240" w:name="_Toc351203482"/>
      <w:r>
        <w:rPr>
          <w:rFonts w:hint="eastAsia"/>
          <w:color w:val="auto"/>
          <w:szCs w:val="21"/>
          <w:highlight w:val="none"/>
        </w:rPr>
        <w:t>二、合同工期</w:t>
      </w:r>
      <w:bookmarkEnd w:id="238"/>
      <w:bookmarkEnd w:id="239"/>
      <w:bookmarkEnd w:id="240"/>
    </w:p>
    <w:p w14:paraId="131EAB86">
      <w:pPr>
        <w:spacing w:line="360" w:lineRule="auto"/>
        <w:ind w:firstLine="420" w:firstLineChars="200"/>
        <w:rPr>
          <w:rFonts w:ascii="宋体" w:hAnsi="宋体"/>
          <w:bCs/>
          <w:color w:val="auto"/>
          <w:szCs w:val="21"/>
          <w:highlight w:val="none"/>
        </w:rPr>
      </w:pPr>
      <w:r>
        <w:rPr>
          <w:rFonts w:hint="eastAsia" w:ascii="宋体" w:hAnsi="宋体"/>
          <w:bCs/>
          <w:color w:val="auto"/>
          <w:szCs w:val="21"/>
          <w:highlight w:val="none"/>
        </w:rPr>
        <w:t>承包人投标函中承诺的工期：</w:t>
      </w:r>
      <w:r>
        <w:rPr>
          <w:rFonts w:hint="eastAsia" w:ascii="宋体" w:hAnsi="宋体"/>
          <w:bCs/>
          <w:color w:val="auto"/>
          <w:szCs w:val="21"/>
          <w:highlight w:val="none"/>
          <w:u w:val="single"/>
        </w:rPr>
        <w:t>日历天</w:t>
      </w:r>
      <w:r>
        <w:rPr>
          <w:rFonts w:hint="eastAsia" w:ascii="宋体" w:hAnsi="宋体"/>
          <w:bCs/>
          <w:color w:val="auto"/>
          <w:szCs w:val="21"/>
          <w:highlight w:val="none"/>
        </w:rPr>
        <w:t>。</w:t>
      </w:r>
    </w:p>
    <w:p w14:paraId="59691C08">
      <w:pPr>
        <w:spacing w:line="360" w:lineRule="auto"/>
        <w:ind w:firstLine="420" w:firstLineChars="200"/>
        <w:rPr>
          <w:rFonts w:ascii="宋体" w:hAnsi="宋体"/>
          <w:bCs/>
          <w:color w:val="auto"/>
          <w:szCs w:val="21"/>
          <w:highlight w:val="none"/>
        </w:rPr>
      </w:pPr>
      <w:r>
        <w:rPr>
          <w:rFonts w:hint="eastAsia" w:ascii="宋体" w:hAnsi="宋体"/>
          <w:bCs/>
          <w:color w:val="auto"/>
          <w:szCs w:val="21"/>
          <w:highlight w:val="none"/>
        </w:rPr>
        <w:t>计划开工日期：</w:t>
      </w:r>
      <w:r>
        <w:rPr>
          <w:rFonts w:hint="eastAsia" w:ascii="宋体" w:hAnsi="宋体"/>
          <w:bCs/>
          <w:color w:val="auto"/>
          <w:szCs w:val="21"/>
          <w:highlight w:val="none"/>
          <w:u w:val="single"/>
        </w:rPr>
        <w:t></w:t>
      </w:r>
      <w:r>
        <w:rPr>
          <w:rFonts w:hint="eastAsia" w:ascii="宋体" w:hAnsi="宋体"/>
          <w:bCs/>
          <w:color w:val="auto"/>
          <w:szCs w:val="21"/>
          <w:highlight w:val="none"/>
        </w:rPr>
        <w:t>年</w:t>
      </w:r>
      <w:r>
        <w:rPr>
          <w:rFonts w:hint="eastAsia" w:ascii="宋体" w:hAnsi="宋体"/>
          <w:bCs/>
          <w:color w:val="auto"/>
          <w:szCs w:val="21"/>
          <w:highlight w:val="none"/>
          <w:u w:val="single"/>
        </w:rPr>
        <w:t></w:t>
      </w:r>
      <w:r>
        <w:rPr>
          <w:rFonts w:hint="eastAsia" w:ascii="宋体" w:hAnsi="宋体"/>
          <w:bCs/>
          <w:color w:val="auto"/>
          <w:szCs w:val="21"/>
          <w:highlight w:val="none"/>
        </w:rPr>
        <w:t>月</w:t>
      </w:r>
      <w:r>
        <w:rPr>
          <w:rFonts w:hint="eastAsia" w:ascii="宋体" w:hAnsi="宋体"/>
          <w:bCs/>
          <w:color w:val="auto"/>
          <w:szCs w:val="21"/>
          <w:highlight w:val="none"/>
          <w:u w:val="single"/>
        </w:rPr>
        <w:t></w:t>
      </w:r>
      <w:r>
        <w:rPr>
          <w:rFonts w:hint="eastAsia" w:ascii="宋体" w:hAnsi="宋体"/>
          <w:bCs/>
          <w:color w:val="auto"/>
          <w:szCs w:val="21"/>
          <w:highlight w:val="none"/>
        </w:rPr>
        <w:t>日，实际开工日期以监理工程师签发的工程开工通知明确的开工日期为准。</w:t>
      </w:r>
    </w:p>
    <w:p w14:paraId="2A856500">
      <w:pPr>
        <w:spacing w:line="360" w:lineRule="auto"/>
        <w:ind w:firstLine="420" w:firstLineChars="200"/>
        <w:rPr>
          <w:rFonts w:ascii="宋体" w:hAnsi="宋体"/>
          <w:bCs/>
          <w:color w:val="auto"/>
          <w:szCs w:val="21"/>
          <w:highlight w:val="none"/>
        </w:rPr>
      </w:pPr>
      <w:r>
        <w:rPr>
          <w:rFonts w:hint="eastAsia" w:ascii="宋体" w:hAnsi="宋体"/>
          <w:bCs/>
          <w:color w:val="auto"/>
          <w:szCs w:val="21"/>
          <w:highlight w:val="none"/>
        </w:rPr>
        <w:t>计划竣工日期：</w:t>
      </w:r>
      <w:r>
        <w:rPr>
          <w:rFonts w:hint="eastAsia" w:ascii="宋体" w:hAnsi="宋体"/>
          <w:bCs/>
          <w:color w:val="auto"/>
          <w:szCs w:val="21"/>
          <w:highlight w:val="none"/>
          <w:u w:val="single"/>
        </w:rPr>
        <w:t></w:t>
      </w:r>
      <w:r>
        <w:rPr>
          <w:rFonts w:hint="eastAsia" w:ascii="宋体" w:hAnsi="宋体"/>
          <w:bCs/>
          <w:color w:val="auto"/>
          <w:szCs w:val="21"/>
          <w:highlight w:val="none"/>
        </w:rPr>
        <w:t>年</w:t>
      </w:r>
      <w:r>
        <w:rPr>
          <w:rFonts w:hint="eastAsia" w:ascii="宋体" w:hAnsi="宋体"/>
          <w:bCs/>
          <w:color w:val="auto"/>
          <w:szCs w:val="21"/>
          <w:highlight w:val="none"/>
          <w:u w:val="single"/>
        </w:rPr>
        <w:t></w:t>
      </w:r>
      <w:r>
        <w:rPr>
          <w:rFonts w:hint="eastAsia" w:ascii="宋体" w:hAnsi="宋体"/>
          <w:bCs/>
          <w:color w:val="auto"/>
          <w:szCs w:val="21"/>
          <w:highlight w:val="none"/>
        </w:rPr>
        <w:t>月</w:t>
      </w:r>
      <w:r>
        <w:rPr>
          <w:rFonts w:hint="eastAsia" w:ascii="宋体" w:hAnsi="宋体"/>
          <w:bCs/>
          <w:color w:val="auto"/>
          <w:szCs w:val="21"/>
          <w:highlight w:val="none"/>
          <w:u w:val="single"/>
        </w:rPr>
        <w:t></w:t>
      </w:r>
      <w:r>
        <w:rPr>
          <w:rFonts w:hint="eastAsia" w:ascii="宋体" w:hAnsi="宋体"/>
          <w:bCs/>
          <w:color w:val="auto"/>
          <w:szCs w:val="21"/>
          <w:highlight w:val="none"/>
        </w:rPr>
        <w:t>日，实际竣工日期以工程竣工验收合格之日为准。</w:t>
      </w:r>
    </w:p>
    <w:p w14:paraId="6EAADC98">
      <w:pPr>
        <w:spacing w:line="360" w:lineRule="auto"/>
        <w:ind w:firstLine="420" w:firstLineChars="200"/>
        <w:rPr>
          <w:rFonts w:ascii="宋体" w:hAnsi="宋体"/>
          <w:color w:val="auto"/>
          <w:szCs w:val="21"/>
          <w:highlight w:val="none"/>
        </w:rPr>
      </w:pPr>
      <w:r>
        <w:rPr>
          <w:rFonts w:hint="eastAsia" w:ascii="宋体" w:hAnsi="宋体"/>
          <w:bCs/>
          <w:color w:val="auto"/>
          <w:szCs w:val="21"/>
          <w:highlight w:val="none"/>
        </w:rPr>
        <w:t>工期总日历天数</w:t>
      </w:r>
      <w:r>
        <w:rPr>
          <w:rFonts w:hint="eastAsia" w:ascii="宋体" w:hAnsi="宋体"/>
          <w:bCs/>
          <w:color w:val="auto"/>
          <w:szCs w:val="21"/>
          <w:highlight w:val="none"/>
          <w:u w:val="single"/>
        </w:rPr>
        <w:t></w:t>
      </w:r>
      <w:r>
        <w:rPr>
          <w:rFonts w:hint="eastAsia" w:ascii="宋体" w:hAnsi="宋体"/>
          <w:bCs/>
          <w:color w:val="auto"/>
          <w:szCs w:val="21"/>
          <w:highlight w:val="none"/>
        </w:rPr>
        <w:t>天。工期总日历天数与根据前述计划开竣工日期计算的工期天数不一</w:t>
      </w:r>
      <w:r>
        <w:rPr>
          <w:rFonts w:hint="eastAsia" w:ascii="宋体" w:hAnsi="宋体"/>
          <w:color w:val="auto"/>
          <w:szCs w:val="21"/>
          <w:highlight w:val="none"/>
        </w:rPr>
        <w:t>致的，以工期总日历天数为准。</w:t>
      </w:r>
    </w:p>
    <w:p w14:paraId="3B4E9466">
      <w:pPr>
        <w:pStyle w:val="6"/>
        <w:keepNext/>
        <w:keepLines/>
        <w:spacing w:before="120" w:after="120" w:line="360" w:lineRule="auto"/>
        <w:ind w:firstLine="420" w:firstLineChars="200"/>
        <w:jc w:val="both"/>
        <w:rPr>
          <w:color w:val="auto"/>
          <w:szCs w:val="21"/>
          <w:highlight w:val="none"/>
        </w:rPr>
      </w:pPr>
      <w:bookmarkStart w:id="241" w:name="_Toc532375575"/>
      <w:bookmarkStart w:id="242" w:name="_Toc532377168"/>
      <w:bookmarkStart w:id="243" w:name="_Toc351203483"/>
      <w:r>
        <w:rPr>
          <w:rFonts w:hint="eastAsia"/>
          <w:color w:val="auto"/>
          <w:szCs w:val="21"/>
          <w:highlight w:val="none"/>
        </w:rPr>
        <w:t>三、质量标准</w:t>
      </w:r>
      <w:bookmarkEnd w:id="241"/>
      <w:bookmarkEnd w:id="242"/>
      <w:bookmarkEnd w:id="243"/>
    </w:p>
    <w:p w14:paraId="011202BE">
      <w:pPr>
        <w:snapToGrid w:val="0"/>
        <w:spacing w:line="360" w:lineRule="auto"/>
        <w:ind w:firstLine="420" w:firstLineChars="200"/>
        <w:rPr>
          <w:rFonts w:ascii="宋体" w:hAnsi="宋体"/>
          <w:color w:val="auto"/>
          <w:szCs w:val="21"/>
          <w:highlight w:val="none"/>
        </w:rPr>
      </w:pPr>
      <w:r>
        <w:rPr>
          <w:rFonts w:hint="eastAsia" w:ascii="宋体" w:hAnsi="宋体"/>
          <w:color w:val="auto"/>
          <w:szCs w:val="21"/>
          <w:highlight w:val="none"/>
        </w:rPr>
        <w:t>工程质量符合强制性质量标准，</w:t>
      </w:r>
      <w:r>
        <w:rPr>
          <w:rFonts w:hint="eastAsia" w:ascii="宋体" w:hAnsi="宋体"/>
          <w:color w:val="auto"/>
          <w:szCs w:val="21"/>
          <w:highlight w:val="none"/>
          <w:u w:val="single"/>
        </w:rPr>
        <w:t>符合国家</w:t>
      </w:r>
      <w:r>
        <w:rPr>
          <w:rFonts w:ascii="宋体" w:hAnsi="宋体"/>
          <w:color w:val="auto"/>
          <w:szCs w:val="21"/>
          <w:highlight w:val="none"/>
          <w:u w:val="single"/>
        </w:rPr>
        <w:t>和重庆市现行</w:t>
      </w:r>
      <w:r>
        <w:rPr>
          <w:rFonts w:hint="eastAsia" w:ascii="宋体" w:hAnsi="宋体"/>
          <w:color w:val="auto"/>
          <w:szCs w:val="21"/>
          <w:highlight w:val="none"/>
          <w:u w:val="single"/>
        </w:rPr>
        <w:t>有关施工质量验收规范要求，并达到合格</w:t>
      </w:r>
      <w:r>
        <w:rPr>
          <w:rFonts w:hint="eastAsia" w:ascii="宋体" w:hAnsi="宋体"/>
          <w:color w:val="auto"/>
          <w:szCs w:val="21"/>
          <w:highlight w:val="none"/>
        </w:rPr>
        <w:t>标准。</w:t>
      </w:r>
    </w:p>
    <w:p w14:paraId="6CEA05FE">
      <w:pPr>
        <w:pStyle w:val="6"/>
        <w:keepNext/>
        <w:keepLines/>
        <w:spacing w:before="120" w:after="120" w:line="360" w:lineRule="auto"/>
        <w:ind w:firstLine="420" w:firstLineChars="200"/>
        <w:jc w:val="both"/>
        <w:rPr>
          <w:color w:val="auto"/>
          <w:szCs w:val="21"/>
          <w:highlight w:val="none"/>
        </w:rPr>
      </w:pPr>
      <w:bookmarkStart w:id="244" w:name="_Toc532375576"/>
      <w:bookmarkStart w:id="245" w:name="_Toc351203484"/>
      <w:bookmarkStart w:id="246" w:name="_Toc532377169"/>
      <w:r>
        <w:rPr>
          <w:rFonts w:hint="eastAsia"/>
          <w:color w:val="auto"/>
          <w:szCs w:val="21"/>
          <w:highlight w:val="none"/>
        </w:rPr>
        <w:t>四、签约合同价与合同价格形式</w:t>
      </w:r>
      <w:bookmarkEnd w:id="244"/>
      <w:bookmarkEnd w:id="245"/>
      <w:bookmarkEnd w:id="246"/>
      <w:r>
        <w:rPr>
          <w:rFonts w:hint="eastAsia"/>
          <w:color w:val="auto"/>
          <w:szCs w:val="21"/>
          <w:highlight w:val="none"/>
        </w:rPr>
        <w:tab/>
      </w:r>
    </w:p>
    <w:p w14:paraId="38E5D70C">
      <w:pPr>
        <w:spacing w:line="360" w:lineRule="auto"/>
        <w:ind w:firstLine="420" w:firstLineChars="200"/>
        <w:rPr>
          <w:rFonts w:ascii="宋体" w:hAnsi="宋体"/>
          <w:color w:val="auto"/>
          <w:szCs w:val="21"/>
          <w:highlight w:val="none"/>
        </w:rPr>
      </w:pPr>
      <w:r>
        <w:rPr>
          <w:rFonts w:hint="eastAsia" w:ascii="宋体" w:hAnsi="宋体"/>
          <w:color w:val="auto"/>
          <w:szCs w:val="21"/>
          <w:highlight w:val="none"/>
        </w:rPr>
        <w:t>1.承包人投标函中承诺的中标价为：</w:t>
      </w:r>
    </w:p>
    <w:p w14:paraId="393CD0FF">
      <w:pPr>
        <w:spacing w:line="360" w:lineRule="auto"/>
        <w:ind w:firstLine="420" w:firstLineChars="200"/>
        <w:rPr>
          <w:rFonts w:ascii="宋体" w:hAnsi="宋体"/>
          <w:color w:val="auto"/>
          <w:szCs w:val="21"/>
          <w:highlight w:val="none"/>
        </w:rPr>
      </w:pPr>
      <w:r>
        <w:rPr>
          <w:rFonts w:hint="eastAsia" w:ascii="宋体" w:hAnsi="宋体"/>
          <w:color w:val="auto"/>
          <w:szCs w:val="21"/>
          <w:highlight w:val="none"/>
        </w:rPr>
        <w:t>人民币（大写）</w:t>
      </w:r>
      <w:r>
        <w:rPr>
          <w:rFonts w:hint="eastAsia" w:ascii="宋体" w:hAnsi="宋体"/>
          <w:color w:val="auto"/>
          <w:szCs w:val="21"/>
          <w:highlight w:val="none"/>
          <w:u w:val="single"/>
        </w:rPr>
        <w:t xml:space="preserve">                  </w:t>
      </w:r>
      <w:r>
        <w:rPr>
          <w:rFonts w:hint="eastAsia" w:ascii="宋体" w:hAnsi="宋体"/>
          <w:color w:val="auto"/>
          <w:szCs w:val="21"/>
          <w:highlight w:val="none"/>
        </w:rPr>
        <w:t>（¥</w:t>
      </w:r>
      <w:r>
        <w:rPr>
          <w:rFonts w:hint="eastAsia" w:ascii="宋体" w:hAnsi="宋体"/>
          <w:color w:val="auto"/>
          <w:szCs w:val="21"/>
          <w:highlight w:val="none"/>
          <w:u w:val="single"/>
        </w:rPr>
        <w:t xml:space="preserve">            </w:t>
      </w:r>
      <w:r>
        <w:rPr>
          <w:rFonts w:hint="eastAsia" w:ascii="宋体" w:hAnsi="宋体"/>
          <w:color w:val="auto"/>
          <w:szCs w:val="21"/>
          <w:highlight w:val="none"/>
        </w:rPr>
        <w:t>元）；</w:t>
      </w:r>
    </w:p>
    <w:p w14:paraId="51BB594C">
      <w:pPr>
        <w:spacing w:line="360" w:lineRule="auto"/>
        <w:ind w:firstLine="420" w:firstLineChars="200"/>
        <w:rPr>
          <w:rFonts w:ascii="宋体" w:hAnsi="宋体"/>
          <w:color w:val="auto"/>
          <w:szCs w:val="21"/>
          <w:highlight w:val="none"/>
        </w:rPr>
      </w:pPr>
      <w:r>
        <w:rPr>
          <w:rFonts w:hint="eastAsia" w:ascii="宋体" w:hAnsi="宋体"/>
          <w:color w:val="auto"/>
          <w:szCs w:val="21"/>
          <w:highlight w:val="none"/>
        </w:rPr>
        <w:t>2.签约合同价为：</w:t>
      </w:r>
    </w:p>
    <w:p w14:paraId="6A209B13">
      <w:pPr>
        <w:snapToGrid w:val="0"/>
        <w:spacing w:line="360" w:lineRule="auto"/>
        <w:ind w:firstLine="420" w:firstLineChars="200"/>
        <w:rPr>
          <w:rFonts w:ascii="宋体" w:hAnsi="宋体"/>
          <w:color w:val="auto"/>
          <w:szCs w:val="21"/>
          <w:highlight w:val="none"/>
        </w:rPr>
      </w:pPr>
      <w:r>
        <w:rPr>
          <w:rFonts w:hint="eastAsia" w:ascii="宋体" w:hAnsi="宋体"/>
          <w:color w:val="auto"/>
          <w:szCs w:val="21"/>
          <w:highlight w:val="none"/>
        </w:rPr>
        <w:t>人民币（大写）</w:t>
      </w:r>
      <w:r>
        <w:rPr>
          <w:rFonts w:ascii="宋体" w:hAnsi="宋体"/>
          <w:color w:val="auto"/>
          <w:szCs w:val="21"/>
          <w:highlight w:val="none"/>
          <w:u w:val="single"/>
        </w:rPr>
        <w:t xml:space="preserve">               </w:t>
      </w:r>
      <w:r>
        <w:rPr>
          <w:rFonts w:hint="eastAsia" w:ascii="宋体" w:hAnsi="宋体"/>
          <w:color w:val="auto"/>
          <w:szCs w:val="21"/>
          <w:highlight w:val="none"/>
          <w:u w:val="single"/>
        </w:rPr>
        <w:t xml:space="preserve"> </w:t>
      </w:r>
      <w:r>
        <w:rPr>
          <w:rFonts w:ascii="宋体" w:hAnsi="宋体"/>
          <w:color w:val="auto"/>
          <w:szCs w:val="21"/>
          <w:highlight w:val="none"/>
          <w:u w:val="single"/>
        </w:rPr>
        <w:t xml:space="preserve">  </w:t>
      </w:r>
      <w:r>
        <w:rPr>
          <w:rFonts w:ascii="宋体" w:hAnsi="宋体"/>
          <w:color w:val="auto"/>
          <w:szCs w:val="21"/>
          <w:highlight w:val="none"/>
        </w:rPr>
        <w:t>（¥</w:t>
      </w:r>
      <w:r>
        <w:rPr>
          <w:rFonts w:ascii="宋体" w:hAnsi="宋体"/>
          <w:color w:val="auto"/>
          <w:szCs w:val="21"/>
          <w:highlight w:val="none"/>
          <w:u w:val="single"/>
        </w:rPr>
        <w:t xml:space="preserve">            </w:t>
      </w:r>
      <w:r>
        <w:rPr>
          <w:rFonts w:ascii="宋体" w:hAnsi="宋体"/>
          <w:color w:val="auto"/>
          <w:szCs w:val="21"/>
          <w:highlight w:val="none"/>
        </w:rPr>
        <w:t>元）</w:t>
      </w:r>
      <w:r>
        <w:rPr>
          <w:rFonts w:hint="eastAsia" w:ascii="宋体" w:hAnsi="宋体"/>
          <w:color w:val="auto"/>
          <w:szCs w:val="21"/>
          <w:highlight w:val="none"/>
        </w:rPr>
        <w:t>；</w:t>
      </w:r>
    </w:p>
    <w:p w14:paraId="6FC4AE59">
      <w:pPr>
        <w:snapToGrid w:val="0"/>
        <w:spacing w:line="360" w:lineRule="auto"/>
        <w:ind w:firstLine="420" w:firstLineChars="200"/>
        <w:rPr>
          <w:rFonts w:ascii="宋体" w:hAnsi="宋体"/>
          <w:color w:val="auto"/>
          <w:szCs w:val="21"/>
          <w:highlight w:val="none"/>
        </w:rPr>
      </w:pPr>
      <w:r>
        <w:rPr>
          <w:rFonts w:hint="eastAsia" w:ascii="宋体" w:hAnsi="宋体"/>
          <w:color w:val="auto"/>
          <w:szCs w:val="21"/>
          <w:highlight w:val="none"/>
        </w:rPr>
        <w:t>其中：</w:t>
      </w:r>
    </w:p>
    <w:p w14:paraId="126F8BEB">
      <w:pPr>
        <w:spacing w:line="360" w:lineRule="auto"/>
        <w:ind w:firstLine="420" w:firstLineChars="200"/>
        <w:rPr>
          <w:rFonts w:ascii="宋体" w:hAnsi="宋体"/>
          <w:color w:val="auto"/>
          <w:szCs w:val="21"/>
          <w:highlight w:val="none"/>
        </w:rPr>
      </w:pPr>
      <w:r>
        <w:rPr>
          <w:rFonts w:hint="eastAsia" w:ascii="宋体" w:hAnsi="宋体"/>
          <w:color w:val="auto"/>
          <w:szCs w:val="21"/>
          <w:highlight w:val="none"/>
        </w:rPr>
        <w:t>（1）安全文明施工费：</w:t>
      </w:r>
    </w:p>
    <w:p w14:paraId="52B7B728">
      <w:pPr>
        <w:spacing w:line="360" w:lineRule="auto"/>
        <w:ind w:firstLine="420" w:firstLineChars="200"/>
        <w:rPr>
          <w:rFonts w:ascii="宋体" w:hAnsi="宋体"/>
          <w:color w:val="auto"/>
          <w:szCs w:val="21"/>
          <w:highlight w:val="none"/>
        </w:rPr>
      </w:pPr>
      <w:r>
        <w:rPr>
          <w:rFonts w:hint="eastAsia" w:ascii="宋体" w:hAnsi="宋体"/>
          <w:color w:val="auto"/>
          <w:szCs w:val="21"/>
          <w:highlight w:val="none"/>
        </w:rPr>
        <w:t>人民币（大写）</w:t>
      </w:r>
      <w:r>
        <w:rPr>
          <w:rFonts w:ascii="宋体" w:hAnsi="宋体"/>
          <w:color w:val="auto"/>
          <w:szCs w:val="21"/>
          <w:highlight w:val="none"/>
          <w:u w:val="single"/>
        </w:rPr>
        <w:t xml:space="preserve">               </w:t>
      </w:r>
      <w:r>
        <w:rPr>
          <w:rFonts w:hint="eastAsia" w:ascii="宋体" w:hAnsi="宋体"/>
          <w:color w:val="auto"/>
          <w:szCs w:val="21"/>
          <w:highlight w:val="none"/>
          <w:u w:val="single"/>
        </w:rPr>
        <w:t xml:space="preserve"> </w:t>
      </w:r>
      <w:r>
        <w:rPr>
          <w:rFonts w:ascii="宋体" w:hAnsi="宋体"/>
          <w:color w:val="auto"/>
          <w:szCs w:val="21"/>
          <w:highlight w:val="none"/>
          <w:u w:val="single"/>
        </w:rPr>
        <w:t xml:space="preserve">  </w:t>
      </w:r>
      <w:r>
        <w:rPr>
          <w:rFonts w:ascii="宋体" w:hAnsi="宋体"/>
          <w:color w:val="auto"/>
          <w:szCs w:val="21"/>
          <w:highlight w:val="none"/>
        </w:rPr>
        <w:t>（¥</w:t>
      </w:r>
      <w:r>
        <w:rPr>
          <w:rFonts w:ascii="宋体" w:hAnsi="宋体"/>
          <w:color w:val="auto"/>
          <w:szCs w:val="21"/>
          <w:highlight w:val="none"/>
          <w:u w:val="single"/>
        </w:rPr>
        <w:t xml:space="preserve">            </w:t>
      </w:r>
      <w:r>
        <w:rPr>
          <w:rFonts w:ascii="宋体" w:hAnsi="宋体"/>
          <w:color w:val="auto"/>
          <w:szCs w:val="21"/>
          <w:highlight w:val="none"/>
        </w:rPr>
        <w:t>元）</w:t>
      </w:r>
      <w:r>
        <w:rPr>
          <w:rFonts w:hint="eastAsia" w:ascii="宋体" w:hAnsi="宋体"/>
          <w:color w:val="auto"/>
          <w:szCs w:val="21"/>
          <w:highlight w:val="none"/>
        </w:rPr>
        <w:t>；</w:t>
      </w:r>
    </w:p>
    <w:p w14:paraId="1FD822F5">
      <w:pPr>
        <w:spacing w:line="360" w:lineRule="auto"/>
        <w:ind w:firstLine="420" w:firstLineChars="200"/>
        <w:rPr>
          <w:rFonts w:ascii="宋体" w:hAnsi="宋体"/>
          <w:color w:val="auto"/>
          <w:szCs w:val="21"/>
          <w:highlight w:val="none"/>
        </w:rPr>
      </w:pPr>
      <w:r>
        <w:rPr>
          <w:rFonts w:hint="eastAsia" w:ascii="宋体" w:hAnsi="宋体"/>
          <w:color w:val="auto"/>
          <w:szCs w:val="21"/>
          <w:highlight w:val="none"/>
        </w:rPr>
        <w:t>（2）材料和工程设备暂估价金额：</w:t>
      </w:r>
    </w:p>
    <w:p w14:paraId="049D2013">
      <w:pPr>
        <w:spacing w:line="360" w:lineRule="auto"/>
        <w:ind w:firstLine="420" w:firstLineChars="200"/>
        <w:rPr>
          <w:rFonts w:ascii="宋体" w:hAnsi="宋体"/>
          <w:color w:val="auto"/>
          <w:szCs w:val="21"/>
          <w:highlight w:val="none"/>
        </w:rPr>
      </w:pPr>
      <w:r>
        <w:rPr>
          <w:rFonts w:hint="eastAsia" w:ascii="宋体" w:hAnsi="宋体"/>
          <w:color w:val="auto"/>
          <w:szCs w:val="21"/>
          <w:highlight w:val="none"/>
        </w:rPr>
        <w:t>人民币（大写）</w:t>
      </w:r>
      <w:r>
        <w:rPr>
          <w:rFonts w:ascii="宋体" w:hAnsi="宋体"/>
          <w:color w:val="auto"/>
          <w:szCs w:val="21"/>
          <w:highlight w:val="none"/>
          <w:u w:val="single"/>
        </w:rPr>
        <w:t xml:space="preserve">               </w:t>
      </w:r>
      <w:r>
        <w:rPr>
          <w:rFonts w:hint="eastAsia" w:ascii="宋体" w:hAnsi="宋体"/>
          <w:color w:val="auto"/>
          <w:szCs w:val="21"/>
          <w:highlight w:val="none"/>
          <w:u w:val="single"/>
        </w:rPr>
        <w:t xml:space="preserve"> </w:t>
      </w:r>
      <w:r>
        <w:rPr>
          <w:rFonts w:ascii="宋体" w:hAnsi="宋体"/>
          <w:color w:val="auto"/>
          <w:szCs w:val="21"/>
          <w:highlight w:val="none"/>
          <w:u w:val="single"/>
        </w:rPr>
        <w:t xml:space="preserve">  </w:t>
      </w:r>
      <w:r>
        <w:rPr>
          <w:rFonts w:ascii="宋体" w:hAnsi="宋体"/>
          <w:color w:val="auto"/>
          <w:szCs w:val="21"/>
          <w:highlight w:val="none"/>
        </w:rPr>
        <w:t>（¥</w:t>
      </w:r>
      <w:r>
        <w:rPr>
          <w:rFonts w:ascii="宋体" w:hAnsi="宋体"/>
          <w:color w:val="auto"/>
          <w:szCs w:val="21"/>
          <w:highlight w:val="none"/>
          <w:u w:val="single"/>
        </w:rPr>
        <w:t xml:space="preserve">            </w:t>
      </w:r>
      <w:r>
        <w:rPr>
          <w:rFonts w:ascii="宋体" w:hAnsi="宋体"/>
          <w:color w:val="auto"/>
          <w:szCs w:val="21"/>
          <w:highlight w:val="none"/>
        </w:rPr>
        <w:t>元）</w:t>
      </w:r>
      <w:r>
        <w:rPr>
          <w:rFonts w:hint="eastAsia" w:ascii="宋体" w:hAnsi="宋体"/>
          <w:color w:val="auto"/>
          <w:szCs w:val="21"/>
          <w:highlight w:val="none"/>
        </w:rPr>
        <w:t>；</w:t>
      </w:r>
    </w:p>
    <w:p w14:paraId="1F791F49">
      <w:pPr>
        <w:spacing w:line="360" w:lineRule="auto"/>
        <w:ind w:firstLine="420" w:firstLineChars="200"/>
        <w:rPr>
          <w:rFonts w:ascii="宋体" w:hAnsi="宋体"/>
          <w:color w:val="auto"/>
          <w:szCs w:val="21"/>
          <w:highlight w:val="none"/>
        </w:rPr>
      </w:pPr>
      <w:r>
        <w:rPr>
          <w:rFonts w:hint="eastAsia" w:ascii="宋体" w:hAnsi="宋体"/>
          <w:color w:val="auto"/>
          <w:szCs w:val="21"/>
          <w:highlight w:val="none"/>
        </w:rPr>
        <w:t>（3）专业工程暂估价金额：</w:t>
      </w:r>
    </w:p>
    <w:p w14:paraId="295CAA85">
      <w:pPr>
        <w:spacing w:line="360" w:lineRule="auto"/>
        <w:ind w:firstLine="420" w:firstLineChars="200"/>
        <w:rPr>
          <w:rFonts w:ascii="宋体" w:hAnsi="宋体"/>
          <w:color w:val="auto"/>
          <w:szCs w:val="21"/>
          <w:highlight w:val="none"/>
        </w:rPr>
      </w:pPr>
      <w:r>
        <w:rPr>
          <w:rFonts w:hint="eastAsia" w:ascii="宋体" w:hAnsi="宋体"/>
          <w:color w:val="auto"/>
          <w:szCs w:val="21"/>
          <w:highlight w:val="none"/>
        </w:rPr>
        <w:t>人民币（大写）</w:t>
      </w:r>
      <w:r>
        <w:rPr>
          <w:rFonts w:ascii="宋体" w:hAnsi="宋体"/>
          <w:color w:val="auto"/>
          <w:szCs w:val="21"/>
          <w:highlight w:val="none"/>
          <w:u w:val="single"/>
        </w:rPr>
        <w:t xml:space="preserve">               </w:t>
      </w:r>
      <w:r>
        <w:rPr>
          <w:rFonts w:hint="eastAsia" w:ascii="宋体" w:hAnsi="宋体"/>
          <w:color w:val="auto"/>
          <w:szCs w:val="21"/>
          <w:highlight w:val="none"/>
          <w:u w:val="single"/>
        </w:rPr>
        <w:t xml:space="preserve"> </w:t>
      </w:r>
      <w:r>
        <w:rPr>
          <w:rFonts w:ascii="宋体" w:hAnsi="宋体"/>
          <w:color w:val="auto"/>
          <w:szCs w:val="21"/>
          <w:highlight w:val="none"/>
          <w:u w:val="single"/>
        </w:rPr>
        <w:t xml:space="preserve">  </w:t>
      </w:r>
      <w:r>
        <w:rPr>
          <w:rFonts w:ascii="宋体" w:hAnsi="宋体"/>
          <w:color w:val="auto"/>
          <w:szCs w:val="21"/>
          <w:highlight w:val="none"/>
        </w:rPr>
        <w:t>（¥</w:t>
      </w:r>
      <w:r>
        <w:rPr>
          <w:rFonts w:ascii="宋体" w:hAnsi="宋体"/>
          <w:color w:val="auto"/>
          <w:szCs w:val="21"/>
          <w:highlight w:val="none"/>
          <w:u w:val="single"/>
        </w:rPr>
        <w:t xml:space="preserve">            </w:t>
      </w:r>
      <w:r>
        <w:rPr>
          <w:rFonts w:ascii="宋体" w:hAnsi="宋体"/>
          <w:color w:val="auto"/>
          <w:szCs w:val="21"/>
          <w:highlight w:val="none"/>
        </w:rPr>
        <w:t>元）</w:t>
      </w:r>
      <w:r>
        <w:rPr>
          <w:rFonts w:hint="eastAsia" w:ascii="宋体" w:hAnsi="宋体"/>
          <w:color w:val="auto"/>
          <w:szCs w:val="21"/>
          <w:highlight w:val="none"/>
        </w:rPr>
        <w:t>；</w:t>
      </w:r>
    </w:p>
    <w:p w14:paraId="3E3C3EA9">
      <w:pPr>
        <w:spacing w:line="360" w:lineRule="auto"/>
        <w:ind w:firstLine="420" w:firstLineChars="200"/>
        <w:rPr>
          <w:rFonts w:ascii="宋体" w:hAnsi="宋体"/>
          <w:color w:val="auto"/>
          <w:szCs w:val="21"/>
          <w:highlight w:val="none"/>
        </w:rPr>
      </w:pPr>
      <w:r>
        <w:rPr>
          <w:rFonts w:hint="eastAsia" w:ascii="宋体" w:hAnsi="宋体"/>
          <w:color w:val="auto"/>
          <w:szCs w:val="21"/>
          <w:highlight w:val="none"/>
        </w:rPr>
        <w:t>（4）暂列金额：</w:t>
      </w:r>
    </w:p>
    <w:p w14:paraId="358E6385">
      <w:pPr>
        <w:spacing w:line="360" w:lineRule="auto"/>
        <w:ind w:firstLine="420" w:firstLineChars="200"/>
        <w:rPr>
          <w:rFonts w:ascii="宋体" w:hAnsi="宋体"/>
          <w:color w:val="auto"/>
          <w:szCs w:val="21"/>
          <w:highlight w:val="none"/>
        </w:rPr>
      </w:pPr>
      <w:r>
        <w:rPr>
          <w:rFonts w:hint="eastAsia" w:ascii="宋体" w:hAnsi="宋体"/>
          <w:color w:val="auto"/>
          <w:szCs w:val="21"/>
          <w:highlight w:val="none"/>
        </w:rPr>
        <w:t>人民币（大写）</w:t>
      </w:r>
      <w:r>
        <w:rPr>
          <w:rFonts w:ascii="宋体" w:hAnsi="宋体"/>
          <w:color w:val="auto"/>
          <w:szCs w:val="21"/>
          <w:highlight w:val="none"/>
          <w:u w:val="single"/>
        </w:rPr>
        <w:t xml:space="preserve">               </w:t>
      </w:r>
      <w:r>
        <w:rPr>
          <w:rFonts w:hint="eastAsia" w:ascii="宋体" w:hAnsi="宋体"/>
          <w:color w:val="auto"/>
          <w:szCs w:val="21"/>
          <w:highlight w:val="none"/>
          <w:u w:val="single"/>
        </w:rPr>
        <w:t xml:space="preserve"> </w:t>
      </w:r>
      <w:r>
        <w:rPr>
          <w:rFonts w:ascii="宋体" w:hAnsi="宋体"/>
          <w:color w:val="auto"/>
          <w:szCs w:val="21"/>
          <w:highlight w:val="none"/>
          <w:u w:val="single"/>
        </w:rPr>
        <w:t xml:space="preserve">  </w:t>
      </w:r>
      <w:r>
        <w:rPr>
          <w:rFonts w:ascii="宋体" w:hAnsi="宋体"/>
          <w:color w:val="auto"/>
          <w:szCs w:val="21"/>
          <w:highlight w:val="none"/>
        </w:rPr>
        <w:t>（¥</w:t>
      </w:r>
      <w:r>
        <w:rPr>
          <w:rFonts w:ascii="宋体" w:hAnsi="宋体"/>
          <w:color w:val="auto"/>
          <w:szCs w:val="21"/>
          <w:highlight w:val="none"/>
          <w:u w:val="single"/>
        </w:rPr>
        <w:t xml:space="preserve">            </w:t>
      </w:r>
      <w:r>
        <w:rPr>
          <w:rFonts w:ascii="宋体" w:hAnsi="宋体"/>
          <w:color w:val="auto"/>
          <w:szCs w:val="21"/>
          <w:highlight w:val="none"/>
        </w:rPr>
        <w:t>元）</w:t>
      </w:r>
      <w:r>
        <w:rPr>
          <w:rFonts w:hint="eastAsia" w:ascii="宋体" w:hAnsi="宋体"/>
          <w:color w:val="auto"/>
          <w:szCs w:val="21"/>
          <w:highlight w:val="none"/>
        </w:rPr>
        <w:t>。</w:t>
      </w:r>
    </w:p>
    <w:p w14:paraId="10F8E204">
      <w:pPr>
        <w:spacing w:line="360" w:lineRule="auto"/>
        <w:ind w:firstLine="420" w:firstLineChars="200"/>
        <w:rPr>
          <w:rFonts w:ascii="宋体" w:hAnsi="宋体"/>
          <w:color w:val="auto"/>
          <w:szCs w:val="21"/>
          <w:highlight w:val="none"/>
        </w:rPr>
      </w:pPr>
      <w:r>
        <w:rPr>
          <w:rFonts w:hint="eastAsia" w:ascii="宋体" w:hAnsi="宋体"/>
          <w:color w:val="auto"/>
          <w:szCs w:val="21"/>
          <w:highlight w:val="none"/>
        </w:rPr>
        <w:t>（5）人工费（工资款）</w:t>
      </w:r>
    </w:p>
    <w:p w14:paraId="517614F3">
      <w:pPr>
        <w:spacing w:line="360" w:lineRule="auto"/>
        <w:ind w:firstLine="420" w:firstLineChars="200"/>
        <w:rPr>
          <w:rFonts w:ascii="宋体" w:hAnsi="宋体"/>
          <w:color w:val="auto"/>
          <w:szCs w:val="21"/>
          <w:highlight w:val="none"/>
        </w:rPr>
      </w:pPr>
      <w:r>
        <w:rPr>
          <w:rFonts w:hint="eastAsia" w:ascii="宋体" w:hAnsi="宋体"/>
          <w:color w:val="auto"/>
          <w:szCs w:val="21"/>
          <w:highlight w:val="none"/>
        </w:rPr>
        <w:t>该项目实行人工费（工资款）与其他工程款分账管理，发包人将应付工程款中的人工费（工资款），以不低于已完成合同价款的</w:t>
      </w:r>
      <w:r>
        <w:rPr>
          <w:rFonts w:hint="eastAsia" w:ascii="宋体" w:hAnsi="宋体"/>
          <w:color w:val="auto"/>
          <w:szCs w:val="21"/>
          <w:highlight w:val="none"/>
          <w:u w:val="single"/>
        </w:rPr>
        <w:t xml:space="preserve">    </w:t>
      </w:r>
      <w:r>
        <w:rPr>
          <w:rFonts w:hint="eastAsia" w:ascii="宋体" w:hAnsi="宋体"/>
          <w:color w:val="auto"/>
          <w:szCs w:val="21"/>
          <w:highlight w:val="none"/>
        </w:rPr>
        <w:t>，农民工工资单独支付至承包人设立的农民工工资专用账户。</w:t>
      </w:r>
    </w:p>
    <w:p w14:paraId="33B12AD0">
      <w:pPr>
        <w:spacing w:line="360" w:lineRule="auto"/>
        <w:ind w:firstLine="420" w:firstLineChars="200"/>
        <w:rPr>
          <w:rFonts w:ascii="宋体" w:hAnsi="宋体"/>
          <w:color w:val="auto"/>
          <w:szCs w:val="21"/>
          <w:highlight w:val="none"/>
        </w:rPr>
      </w:pPr>
      <w:r>
        <w:rPr>
          <w:rFonts w:hint="eastAsia" w:ascii="宋体" w:hAnsi="宋体"/>
          <w:color w:val="auto"/>
          <w:szCs w:val="21"/>
          <w:highlight w:val="none"/>
        </w:rPr>
        <w:t>3.合同价格形式：</w:t>
      </w:r>
      <w:r>
        <w:rPr>
          <w:rFonts w:ascii="宋体" w:hAnsi="宋体"/>
          <w:color w:val="auto"/>
          <w:szCs w:val="21"/>
          <w:highlight w:val="none"/>
          <w:u w:val="single"/>
        </w:rPr>
        <w:t xml:space="preserve">              </w:t>
      </w:r>
      <w:r>
        <w:rPr>
          <w:rFonts w:hint="eastAsia" w:ascii="宋体" w:hAnsi="宋体"/>
          <w:color w:val="auto"/>
          <w:szCs w:val="21"/>
          <w:highlight w:val="none"/>
        </w:rPr>
        <w:t>。</w:t>
      </w:r>
    </w:p>
    <w:p w14:paraId="28D1F8FD">
      <w:pPr>
        <w:pStyle w:val="6"/>
        <w:keepNext/>
        <w:keepLines/>
        <w:spacing w:before="120" w:after="120" w:line="360" w:lineRule="auto"/>
        <w:ind w:firstLine="420" w:firstLineChars="200"/>
        <w:jc w:val="both"/>
        <w:rPr>
          <w:color w:val="auto"/>
          <w:szCs w:val="21"/>
          <w:highlight w:val="none"/>
        </w:rPr>
      </w:pPr>
      <w:bookmarkStart w:id="247" w:name="_Toc351203485"/>
      <w:bookmarkStart w:id="248" w:name="_Toc532375577"/>
      <w:bookmarkStart w:id="249" w:name="_Toc532377170"/>
      <w:r>
        <w:rPr>
          <w:rFonts w:hint="eastAsia"/>
          <w:color w:val="auto"/>
          <w:szCs w:val="21"/>
          <w:highlight w:val="none"/>
        </w:rPr>
        <w:t>五、</w:t>
      </w:r>
      <w:bookmarkEnd w:id="247"/>
      <w:r>
        <w:rPr>
          <w:rFonts w:hint="eastAsia"/>
          <w:color w:val="auto"/>
          <w:szCs w:val="21"/>
          <w:highlight w:val="none"/>
        </w:rPr>
        <w:t>项目经理及技术负责人</w:t>
      </w:r>
      <w:bookmarkEnd w:id="248"/>
      <w:bookmarkEnd w:id="249"/>
    </w:p>
    <w:p w14:paraId="451BF6CF">
      <w:pPr>
        <w:spacing w:line="360" w:lineRule="auto"/>
        <w:ind w:firstLine="420" w:firstLineChars="200"/>
        <w:rPr>
          <w:rFonts w:ascii="宋体" w:hAnsi="宋体"/>
          <w:color w:val="auto"/>
          <w:szCs w:val="21"/>
          <w:highlight w:val="none"/>
        </w:rPr>
      </w:pPr>
      <w:r>
        <w:rPr>
          <w:rFonts w:hint="eastAsia" w:ascii="宋体" w:hAnsi="宋体"/>
          <w:color w:val="auto"/>
          <w:szCs w:val="21"/>
          <w:highlight w:val="none"/>
        </w:rPr>
        <w:t>承包人投标文件中承诺的项目经理：</w:t>
      </w:r>
    </w:p>
    <w:p w14:paraId="35090D99">
      <w:pPr>
        <w:spacing w:line="360" w:lineRule="auto"/>
        <w:ind w:firstLine="420" w:firstLineChars="200"/>
        <w:rPr>
          <w:rFonts w:ascii="宋体" w:hAnsi="宋体"/>
          <w:color w:val="auto"/>
          <w:szCs w:val="21"/>
          <w:highlight w:val="none"/>
        </w:rPr>
      </w:pPr>
      <w:r>
        <w:rPr>
          <w:rFonts w:hint="eastAsia" w:ascii="宋体" w:hAnsi="宋体"/>
          <w:color w:val="auto"/>
          <w:szCs w:val="21"/>
          <w:highlight w:val="none"/>
        </w:rPr>
        <w:t>姓名：</w:t>
      </w:r>
      <w:r>
        <w:rPr>
          <w:rFonts w:ascii="宋体" w:hAnsi="宋体"/>
          <w:color w:val="auto"/>
          <w:szCs w:val="21"/>
          <w:highlight w:val="none"/>
          <w:u w:val="single"/>
        </w:rPr>
        <w:t xml:space="preserve">                </w:t>
      </w:r>
      <w:r>
        <w:rPr>
          <w:rFonts w:hint="eastAsia" w:ascii="宋体" w:hAnsi="宋体"/>
          <w:color w:val="auto"/>
          <w:szCs w:val="21"/>
          <w:highlight w:val="none"/>
          <w:u w:val="single"/>
        </w:rPr>
        <w:t xml:space="preserve">              </w:t>
      </w:r>
      <w:r>
        <w:rPr>
          <w:rFonts w:ascii="宋体" w:hAnsi="宋体"/>
          <w:color w:val="auto"/>
          <w:szCs w:val="21"/>
          <w:highlight w:val="none"/>
          <w:u w:val="single"/>
        </w:rPr>
        <w:t xml:space="preserve">  </w:t>
      </w:r>
      <w:r>
        <w:rPr>
          <w:rFonts w:hint="eastAsia" w:ascii="宋体" w:hAnsi="宋体"/>
          <w:color w:val="auto"/>
          <w:szCs w:val="21"/>
          <w:highlight w:val="none"/>
        </w:rPr>
        <w:t>，</w:t>
      </w:r>
    </w:p>
    <w:p w14:paraId="50B89879">
      <w:pPr>
        <w:spacing w:line="360" w:lineRule="auto"/>
        <w:ind w:firstLine="420" w:firstLineChars="200"/>
        <w:rPr>
          <w:rFonts w:ascii="宋体" w:hAnsi="宋体"/>
          <w:color w:val="auto"/>
          <w:szCs w:val="21"/>
          <w:highlight w:val="none"/>
        </w:rPr>
      </w:pPr>
      <w:r>
        <w:rPr>
          <w:rFonts w:hint="eastAsia" w:ascii="宋体" w:hAnsi="宋体"/>
          <w:color w:val="auto"/>
          <w:szCs w:val="21"/>
          <w:highlight w:val="none"/>
        </w:rPr>
        <w:t>身份证号码：</w:t>
      </w:r>
      <w:r>
        <w:rPr>
          <w:rFonts w:ascii="宋体" w:hAnsi="宋体"/>
          <w:color w:val="auto"/>
          <w:szCs w:val="21"/>
          <w:highlight w:val="none"/>
          <w:u w:val="single"/>
        </w:rPr>
        <w:t xml:space="preserve">                </w:t>
      </w:r>
      <w:r>
        <w:rPr>
          <w:rFonts w:hint="eastAsia" w:ascii="宋体" w:hAnsi="宋体"/>
          <w:color w:val="auto"/>
          <w:szCs w:val="21"/>
          <w:highlight w:val="none"/>
          <w:u w:val="single"/>
        </w:rPr>
        <w:t xml:space="preserve">              </w:t>
      </w:r>
      <w:r>
        <w:rPr>
          <w:rFonts w:ascii="宋体" w:hAnsi="宋体"/>
          <w:color w:val="auto"/>
          <w:szCs w:val="21"/>
          <w:highlight w:val="none"/>
          <w:u w:val="single"/>
        </w:rPr>
        <w:t xml:space="preserve">  </w:t>
      </w:r>
      <w:r>
        <w:rPr>
          <w:rFonts w:hint="eastAsia" w:ascii="宋体" w:hAnsi="宋体"/>
          <w:color w:val="auto"/>
          <w:szCs w:val="21"/>
          <w:highlight w:val="none"/>
        </w:rPr>
        <w:t>，</w:t>
      </w:r>
    </w:p>
    <w:p w14:paraId="7FE841C2">
      <w:pPr>
        <w:spacing w:line="360" w:lineRule="auto"/>
        <w:ind w:firstLine="420" w:firstLineChars="200"/>
        <w:rPr>
          <w:rFonts w:ascii="宋体" w:hAnsi="宋体"/>
          <w:color w:val="auto"/>
          <w:szCs w:val="21"/>
          <w:highlight w:val="none"/>
        </w:rPr>
      </w:pPr>
      <w:r>
        <w:rPr>
          <w:rFonts w:hint="eastAsia" w:ascii="宋体" w:hAnsi="宋体"/>
          <w:color w:val="auto"/>
          <w:szCs w:val="21"/>
          <w:highlight w:val="none"/>
        </w:rPr>
        <w:t>建造师</w:t>
      </w:r>
      <w:r>
        <w:rPr>
          <w:rFonts w:ascii="宋体" w:hAnsi="宋体"/>
          <w:color w:val="auto"/>
          <w:szCs w:val="21"/>
          <w:highlight w:val="none"/>
        </w:rPr>
        <w:t>注册证书号</w:t>
      </w:r>
      <w:r>
        <w:rPr>
          <w:rFonts w:hint="eastAsia" w:ascii="宋体" w:hAnsi="宋体"/>
          <w:color w:val="auto"/>
          <w:szCs w:val="21"/>
          <w:highlight w:val="none"/>
        </w:rPr>
        <w:t>：</w:t>
      </w:r>
      <w:r>
        <w:rPr>
          <w:rFonts w:ascii="宋体" w:hAnsi="宋体"/>
          <w:color w:val="auto"/>
          <w:szCs w:val="21"/>
          <w:highlight w:val="none"/>
          <w:u w:val="single"/>
        </w:rPr>
        <w:t xml:space="preserve">                 </w:t>
      </w:r>
      <w:r>
        <w:rPr>
          <w:rFonts w:hint="eastAsia" w:ascii="宋体" w:hAnsi="宋体"/>
          <w:color w:val="auto"/>
          <w:szCs w:val="21"/>
          <w:highlight w:val="none"/>
          <w:u w:val="single"/>
        </w:rPr>
        <w:t xml:space="preserve">             </w:t>
      </w:r>
      <w:r>
        <w:rPr>
          <w:rFonts w:ascii="宋体" w:hAnsi="宋体"/>
          <w:color w:val="auto"/>
          <w:szCs w:val="21"/>
          <w:highlight w:val="none"/>
          <w:u w:val="single"/>
        </w:rPr>
        <w:t xml:space="preserve"> </w:t>
      </w:r>
      <w:r>
        <w:rPr>
          <w:rFonts w:hint="eastAsia" w:ascii="宋体" w:hAnsi="宋体"/>
          <w:color w:val="auto"/>
          <w:szCs w:val="21"/>
          <w:highlight w:val="none"/>
        </w:rPr>
        <w:t>。</w:t>
      </w:r>
    </w:p>
    <w:p w14:paraId="5EB998A6">
      <w:pPr>
        <w:spacing w:line="360" w:lineRule="auto"/>
        <w:ind w:firstLine="420" w:firstLineChars="200"/>
        <w:rPr>
          <w:rFonts w:ascii="宋体" w:hAnsi="宋体"/>
          <w:color w:val="auto"/>
          <w:szCs w:val="21"/>
          <w:highlight w:val="none"/>
        </w:rPr>
      </w:pPr>
      <w:r>
        <w:rPr>
          <w:rFonts w:hint="eastAsia" w:ascii="宋体" w:hAnsi="宋体"/>
          <w:color w:val="auto"/>
          <w:szCs w:val="21"/>
          <w:highlight w:val="none"/>
        </w:rPr>
        <w:t>承包人投标文件中承诺的技术负责人：</w:t>
      </w:r>
    </w:p>
    <w:p w14:paraId="436DA05F">
      <w:pPr>
        <w:spacing w:line="360" w:lineRule="auto"/>
        <w:ind w:firstLine="420" w:firstLineChars="200"/>
        <w:rPr>
          <w:rFonts w:ascii="宋体" w:hAnsi="宋体"/>
          <w:color w:val="auto"/>
          <w:szCs w:val="21"/>
          <w:highlight w:val="none"/>
        </w:rPr>
      </w:pPr>
      <w:r>
        <w:rPr>
          <w:rFonts w:hint="eastAsia" w:ascii="宋体" w:hAnsi="宋体"/>
          <w:color w:val="auto"/>
          <w:szCs w:val="21"/>
          <w:highlight w:val="none"/>
        </w:rPr>
        <w:t>姓名：</w:t>
      </w:r>
      <w:r>
        <w:rPr>
          <w:rFonts w:ascii="宋体" w:hAnsi="宋体"/>
          <w:color w:val="auto"/>
          <w:szCs w:val="21"/>
          <w:highlight w:val="none"/>
          <w:u w:val="single"/>
        </w:rPr>
        <w:t xml:space="preserve">                 </w:t>
      </w:r>
      <w:r>
        <w:rPr>
          <w:rFonts w:hint="eastAsia" w:ascii="宋体" w:hAnsi="宋体"/>
          <w:color w:val="auto"/>
          <w:szCs w:val="21"/>
          <w:highlight w:val="none"/>
          <w:u w:val="single"/>
        </w:rPr>
        <w:t xml:space="preserve">             </w:t>
      </w:r>
      <w:r>
        <w:rPr>
          <w:rFonts w:ascii="宋体" w:hAnsi="宋体"/>
          <w:color w:val="auto"/>
          <w:szCs w:val="21"/>
          <w:highlight w:val="none"/>
          <w:u w:val="single"/>
        </w:rPr>
        <w:t xml:space="preserve"> </w:t>
      </w:r>
      <w:r>
        <w:rPr>
          <w:rFonts w:hint="eastAsia" w:ascii="宋体" w:hAnsi="宋体"/>
          <w:color w:val="auto"/>
          <w:szCs w:val="21"/>
          <w:highlight w:val="none"/>
        </w:rPr>
        <w:t>，</w:t>
      </w:r>
    </w:p>
    <w:p w14:paraId="71E3FE95">
      <w:pPr>
        <w:spacing w:line="360" w:lineRule="auto"/>
        <w:ind w:firstLine="420" w:firstLineChars="200"/>
        <w:rPr>
          <w:rFonts w:ascii="宋体" w:hAnsi="宋体"/>
          <w:color w:val="auto"/>
          <w:szCs w:val="21"/>
          <w:highlight w:val="none"/>
        </w:rPr>
      </w:pPr>
      <w:r>
        <w:rPr>
          <w:rFonts w:hint="eastAsia" w:ascii="宋体" w:hAnsi="宋体"/>
          <w:color w:val="auto"/>
          <w:szCs w:val="21"/>
          <w:highlight w:val="none"/>
        </w:rPr>
        <w:t>身份证号码：</w:t>
      </w:r>
      <w:r>
        <w:rPr>
          <w:rFonts w:ascii="宋体" w:hAnsi="宋体"/>
          <w:color w:val="auto"/>
          <w:szCs w:val="21"/>
          <w:highlight w:val="none"/>
          <w:u w:val="single"/>
        </w:rPr>
        <w:t xml:space="preserve">                 </w:t>
      </w:r>
      <w:r>
        <w:rPr>
          <w:rFonts w:hint="eastAsia" w:ascii="宋体" w:hAnsi="宋体"/>
          <w:color w:val="auto"/>
          <w:szCs w:val="21"/>
          <w:highlight w:val="none"/>
          <w:u w:val="single"/>
        </w:rPr>
        <w:t xml:space="preserve">             </w:t>
      </w:r>
      <w:r>
        <w:rPr>
          <w:rFonts w:ascii="宋体" w:hAnsi="宋体"/>
          <w:color w:val="auto"/>
          <w:szCs w:val="21"/>
          <w:highlight w:val="none"/>
          <w:u w:val="single"/>
        </w:rPr>
        <w:t xml:space="preserve"> </w:t>
      </w:r>
      <w:r>
        <w:rPr>
          <w:rFonts w:hint="eastAsia" w:ascii="宋体" w:hAnsi="宋体"/>
          <w:color w:val="auto"/>
          <w:szCs w:val="21"/>
          <w:highlight w:val="none"/>
        </w:rPr>
        <w:t>。</w:t>
      </w:r>
    </w:p>
    <w:p w14:paraId="1E6E065C">
      <w:pPr>
        <w:pStyle w:val="2"/>
        <w:spacing w:line="360" w:lineRule="auto"/>
        <w:rPr>
          <w:rFonts w:ascii="宋体" w:hAnsi="宋体"/>
          <w:color w:val="auto"/>
          <w:szCs w:val="21"/>
          <w:highlight w:val="none"/>
        </w:rPr>
      </w:pPr>
      <w:r>
        <w:rPr>
          <w:rFonts w:hint="eastAsia" w:ascii="宋体" w:hAnsi="宋体"/>
          <w:color w:val="auto"/>
          <w:szCs w:val="21"/>
          <w:highlight w:val="none"/>
        </w:rPr>
        <w:t xml:space="preserve">    证书名称</w:t>
      </w:r>
      <w:r>
        <w:rPr>
          <w:rFonts w:ascii="宋体" w:hAnsi="宋体"/>
          <w:color w:val="auto"/>
          <w:szCs w:val="21"/>
          <w:highlight w:val="none"/>
        </w:rPr>
        <w:t>及号码：</w:t>
      </w:r>
      <w:r>
        <w:rPr>
          <w:rFonts w:ascii="宋体" w:hAnsi="宋体"/>
          <w:color w:val="auto"/>
          <w:szCs w:val="21"/>
          <w:highlight w:val="none"/>
          <w:u w:val="single"/>
        </w:rPr>
        <w:t xml:space="preserve">                 </w:t>
      </w:r>
      <w:r>
        <w:rPr>
          <w:rFonts w:hint="eastAsia" w:ascii="宋体" w:hAnsi="宋体"/>
          <w:color w:val="auto"/>
          <w:szCs w:val="21"/>
          <w:highlight w:val="none"/>
          <w:u w:val="single"/>
        </w:rPr>
        <w:t xml:space="preserve">                  </w:t>
      </w:r>
      <w:r>
        <w:rPr>
          <w:rFonts w:hint="eastAsia" w:ascii="宋体" w:hAnsi="宋体"/>
          <w:color w:val="auto"/>
          <w:szCs w:val="21"/>
          <w:highlight w:val="none"/>
        </w:rPr>
        <w:t>。</w:t>
      </w:r>
    </w:p>
    <w:p w14:paraId="451FEAB7">
      <w:pPr>
        <w:pStyle w:val="6"/>
        <w:keepNext/>
        <w:keepLines/>
        <w:spacing w:before="120" w:after="120" w:line="360" w:lineRule="auto"/>
        <w:ind w:firstLine="420" w:firstLineChars="200"/>
        <w:jc w:val="both"/>
        <w:rPr>
          <w:color w:val="auto"/>
          <w:szCs w:val="21"/>
          <w:highlight w:val="none"/>
        </w:rPr>
      </w:pPr>
      <w:bookmarkStart w:id="250" w:name="_Toc351203486"/>
      <w:bookmarkStart w:id="251" w:name="_Toc532375578"/>
      <w:bookmarkStart w:id="252" w:name="_Toc532377171"/>
      <w:r>
        <w:rPr>
          <w:rFonts w:hint="eastAsia"/>
          <w:color w:val="auto"/>
          <w:szCs w:val="21"/>
          <w:highlight w:val="none"/>
        </w:rPr>
        <w:t>六、合同文件构成</w:t>
      </w:r>
      <w:bookmarkEnd w:id="250"/>
      <w:bookmarkEnd w:id="251"/>
      <w:bookmarkEnd w:id="252"/>
    </w:p>
    <w:p w14:paraId="1F088A9F">
      <w:pPr>
        <w:spacing w:line="360" w:lineRule="auto"/>
        <w:ind w:firstLine="420" w:firstLineChars="200"/>
        <w:rPr>
          <w:rFonts w:ascii="宋体" w:hAnsi="宋体"/>
          <w:bCs/>
          <w:color w:val="auto"/>
          <w:szCs w:val="21"/>
          <w:highlight w:val="none"/>
        </w:rPr>
      </w:pPr>
      <w:r>
        <w:rPr>
          <w:rFonts w:hint="eastAsia" w:ascii="宋体" w:hAnsi="宋体"/>
          <w:bCs/>
          <w:color w:val="auto"/>
          <w:szCs w:val="21"/>
          <w:highlight w:val="none"/>
        </w:rPr>
        <w:t>合同由以下文件构成：</w:t>
      </w:r>
    </w:p>
    <w:p w14:paraId="33044F6E">
      <w:pPr>
        <w:spacing w:line="360" w:lineRule="auto"/>
        <w:ind w:firstLine="420" w:firstLineChars="200"/>
        <w:rPr>
          <w:rFonts w:ascii="宋体" w:hAnsi="宋体"/>
          <w:color w:val="auto"/>
          <w:szCs w:val="21"/>
          <w:highlight w:val="none"/>
        </w:rPr>
      </w:pPr>
      <w:r>
        <w:rPr>
          <w:rFonts w:hint="eastAsia" w:ascii="宋体" w:hAnsi="宋体"/>
          <w:color w:val="auto"/>
          <w:szCs w:val="21"/>
          <w:highlight w:val="none"/>
        </w:rPr>
        <w:t>（1）合同协议书；</w:t>
      </w:r>
    </w:p>
    <w:p w14:paraId="1DD2DA2E">
      <w:pPr>
        <w:spacing w:line="360" w:lineRule="auto"/>
        <w:ind w:firstLine="420" w:firstLineChars="200"/>
        <w:rPr>
          <w:rFonts w:ascii="宋体" w:hAnsi="宋体"/>
          <w:color w:val="auto"/>
          <w:szCs w:val="21"/>
          <w:highlight w:val="none"/>
        </w:rPr>
      </w:pPr>
      <w:r>
        <w:rPr>
          <w:rFonts w:hint="eastAsia" w:ascii="宋体" w:hAnsi="宋体"/>
          <w:color w:val="auto"/>
          <w:szCs w:val="21"/>
          <w:highlight w:val="none"/>
        </w:rPr>
        <w:t>（2）中标通知书；</w:t>
      </w:r>
    </w:p>
    <w:p w14:paraId="78E02831">
      <w:pPr>
        <w:spacing w:line="360" w:lineRule="auto"/>
        <w:ind w:firstLine="420" w:firstLineChars="200"/>
        <w:rPr>
          <w:rFonts w:ascii="宋体" w:hAnsi="宋体"/>
          <w:color w:val="auto"/>
          <w:szCs w:val="21"/>
          <w:highlight w:val="none"/>
        </w:rPr>
      </w:pPr>
      <w:r>
        <w:rPr>
          <w:rFonts w:hint="eastAsia" w:ascii="宋体" w:hAnsi="宋体"/>
          <w:color w:val="auto"/>
          <w:szCs w:val="21"/>
          <w:highlight w:val="none"/>
        </w:rPr>
        <w:t>（3）投标函；</w:t>
      </w:r>
    </w:p>
    <w:p w14:paraId="215CE2C3">
      <w:pPr>
        <w:spacing w:line="360" w:lineRule="auto"/>
        <w:ind w:firstLine="420" w:firstLineChars="200"/>
        <w:rPr>
          <w:rFonts w:ascii="宋体" w:hAnsi="宋体"/>
          <w:color w:val="auto"/>
          <w:szCs w:val="21"/>
          <w:highlight w:val="none"/>
        </w:rPr>
      </w:pPr>
      <w:r>
        <w:rPr>
          <w:rFonts w:hint="eastAsia" w:ascii="宋体" w:hAnsi="宋体"/>
          <w:color w:val="auto"/>
          <w:szCs w:val="21"/>
          <w:highlight w:val="none"/>
        </w:rPr>
        <w:t>（4）专用合同条款及其附件；</w:t>
      </w:r>
    </w:p>
    <w:p w14:paraId="1E97AF7C">
      <w:pPr>
        <w:spacing w:line="360" w:lineRule="auto"/>
        <w:ind w:firstLine="420" w:firstLineChars="200"/>
        <w:rPr>
          <w:rFonts w:ascii="宋体" w:hAnsi="宋体"/>
          <w:color w:val="auto"/>
          <w:szCs w:val="21"/>
          <w:highlight w:val="none"/>
        </w:rPr>
      </w:pPr>
      <w:r>
        <w:rPr>
          <w:rFonts w:hint="eastAsia" w:ascii="宋体" w:hAnsi="宋体"/>
          <w:color w:val="auto"/>
          <w:szCs w:val="21"/>
          <w:highlight w:val="none"/>
        </w:rPr>
        <w:t>（5）通用合同条款；</w:t>
      </w:r>
    </w:p>
    <w:p w14:paraId="5C37655A">
      <w:pPr>
        <w:spacing w:line="360" w:lineRule="auto"/>
        <w:ind w:firstLine="420" w:firstLineChars="200"/>
        <w:rPr>
          <w:rFonts w:ascii="宋体" w:hAnsi="宋体"/>
          <w:color w:val="auto"/>
          <w:szCs w:val="21"/>
          <w:highlight w:val="none"/>
        </w:rPr>
      </w:pPr>
      <w:r>
        <w:rPr>
          <w:rFonts w:hint="eastAsia" w:ascii="宋体" w:hAnsi="宋体"/>
          <w:color w:val="auto"/>
          <w:szCs w:val="21"/>
          <w:highlight w:val="none"/>
        </w:rPr>
        <w:t>（6）投标文件（投标函除外）；</w:t>
      </w:r>
    </w:p>
    <w:p w14:paraId="1449A4D0">
      <w:pPr>
        <w:spacing w:line="360" w:lineRule="auto"/>
        <w:ind w:firstLine="420" w:firstLineChars="200"/>
        <w:rPr>
          <w:rFonts w:ascii="宋体" w:hAnsi="宋体"/>
          <w:color w:val="auto"/>
          <w:szCs w:val="21"/>
          <w:highlight w:val="none"/>
        </w:rPr>
      </w:pPr>
      <w:r>
        <w:rPr>
          <w:rFonts w:hint="eastAsia" w:ascii="宋体" w:hAnsi="宋体"/>
          <w:color w:val="auto"/>
          <w:szCs w:val="21"/>
          <w:highlight w:val="none"/>
        </w:rPr>
        <w:t>（7）招标文件及修改文件；</w:t>
      </w:r>
    </w:p>
    <w:p w14:paraId="04DB86CD">
      <w:pPr>
        <w:spacing w:line="360" w:lineRule="auto"/>
        <w:ind w:firstLine="420" w:firstLineChars="200"/>
        <w:rPr>
          <w:rFonts w:ascii="宋体" w:hAnsi="宋体"/>
          <w:color w:val="auto"/>
          <w:szCs w:val="21"/>
          <w:highlight w:val="none"/>
        </w:rPr>
      </w:pPr>
      <w:r>
        <w:rPr>
          <w:rFonts w:hint="eastAsia" w:ascii="宋体" w:hAnsi="宋体"/>
          <w:color w:val="auto"/>
          <w:szCs w:val="21"/>
          <w:highlight w:val="none"/>
        </w:rPr>
        <w:t>（8）技术标准和要求；</w:t>
      </w:r>
    </w:p>
    <w:p w14:paraId="5FC37061">
      <w:pPr>
        <w:spacing w:line="360" w:lineRule="auto"/>
        <w:ind w:firstLine="420" w:firstLineChars="200"/>
        <w:rPr>
          <w:rFonts w:ascii="宋体" w:hAnsi="宋体"/>
          <w:color w:val="auto"/>
          <w:szCs w:val="21"/>
          <w:highlight w:val="none"/>
        </w:rPr>
      </w:pPr>
      <w:r>
        <w:rPr>
          <w:rFonts w:hint="eastAsia" w:ascii="宋体" w:hAnsi="宋体"/>
          <w:color w:val="auto"/>
          <w:szCs w:val="21"/>
          <w:highlight w:val="none"/>
        </w:rPr>
        <w:t>（9）图纸；</w:t>
      </w:r>
    </w:p>
    <w:p w14:paraId="564F6751">
      <w:pPr>
        <w:spacing w:line="360" w:lineRule="auto"/>
        <w:ind w:firstLine="420" w:firstLineChars="200"/>
        <w:rPr>
          <w:rFonts w:ascii="宋体" w:hAnsi="宋体"/>
          <w:color w:val="auto"/>
          <w:szCs w:val="21"/>
          <w:highlight w:val="none"/>
        </w:rPr>
      </w:pPr>
      <w:r>
        <w:rPr>
          <w:rFonts w:hint="eastAsia" w:ascii="宋体" w:hAnsi="宋体"/>
          <w:color w:val="auto"/>
          <w:szCs w:val="21"/>
          <w:highlight w:val="none"/>
        </w:rPr>
        <w:t>（10）其他合同文件。</w:t>
      </w:r>
    </w:p>
    <w:p w14:paraId="0B43EE9A">
      <w:pPr>
        <w:spacing w:line="360" w:lineRule="auto"/>
        <w:ind w:firstLine="420" w:firstLineChars="200"/>
        <w:rPr>
          <w:rFonts w:ascii="宋体" w:hAnsi="宋体"/>
          <w:color w:val="auto"/>
          <w:szCs w:val="21"/>
          <w:highlight w:val="none"/>
        </w:rPr>
      </w:pPr>
      <w:r>
        <w:rPr>
          <w:rFonts w:hint="eastAsia" w:ascii="宋体" w:hAnsi="宋体"/>
          <w:color w:val="auto"/>
          <w:szCs w:val="21"/>
          <w:highlight w:val="none"/>
        </w:rPr>
        <w:t>在合同订立、履行过程中形成的与合同有关的书面形式的文件均构成合同文件组成部分。</w:t>
      </w:r>
    </w:p>
    <w:p w14:paraId="18259AA5">
      <w:pPr>
        <w:spacing w:line="360" w:lineRule="auto"/>
        <w:ind w:firstLine="420" w:firstLineChars="200"/>
        <w:rPr>
          <w:rFonts w:ascii="宋体" w:hAnsi="宋体"/>
          <w:color w:val="auto"/>
          <w:szCs w:val="21"/>
          <w:highlight w:val="none"/>
        </w:rPr>
      </w:pPr>
      <w:r>
        <w:rPr>
          <w:rFonts w:hint="eastAsia" w:ascii="宋体" w:hAnsi="宋体"/>
          <w:color w:val="auto"/>
          <w:szCs w:val="21"/>
          <w:highlight w:val="none"/>
        </w:rPr>
        <w:t>上述各项合同文件包括合同当事人就该项合同文件所作出的补充和修改，属于同一类内容的文件，应以最新签署的为准。专用合同条款及其附件须经合同当事人签名或盖章。</w:t>
      </w:r>
    </w:p>
    <w:p w14:paraId="40987651">
      <w:pPr>
        <w:pStyle w:val="6"/>
        <w:keepNext/>
        <w:keepLines/>
        <w:spacing w:before="120" w:after="120" w:line="360" w:lineRule="auto"/>
        <w:ind w:firstLine="420" w:firstLineChars="200"/>
        <w:jc w:val="both"/>
        <w:rPr>
          <w:color w:val="auto"/>
          <w:szCs w:val="21"/>
          <w:highlight w:val="none"/>
        </w:rPr>
      </w:pPr>
      <w:bookmarkStart w:id="253" w:name="_Toc532377172"/>
      <w:bookmarkStart w:id="254" w:name="_Toc351203487"/>
      <w:bookmarkStart w:id="255" w:name="_Toc532375579"/>
      <w:r>
        <w:rPr>
          <w:rFonts w:hint="eastAsia"/>
          <w:color w:val="auto"/>
          <w:szCs w:val="21"/>
          <w:highlight w:val="none"/>
        </w:rPr>
        <w:t>七、承诺</w:t>
      </w:r>
      <w:bookmarkEnd w:id="253"/>
      <w:bookmarkEnd w:id="254"/>
      <w:bookmarkEnd w:id="255"/>
    </w:p>
    <w:p w14:paraId="2F37CC0C">
      <w:pPr>
        <w:spacing w:line="360" w:lineRule="auto"/>
        <w:ind w:firstLine="420" w:firstLineChars="200"/>
        <w:rPr>
          <w:rFonts w:ascii="宋体" w:hAnsi="宋体"/>
          <w:bCs/>
          <w:color w:val="auto"/>
          <w:szCs w:val="21"/>
          <w:highlight w:val="none"/>
        </w:rPr>
      </w:pPr>
      <w:r>
        <w:rPr>
          <w:rFonts w:hint="eastAsia" w:ascii="宋体" w:hAnsi="宋体"/>
          <w:bCs/>
          <w:color w:val="auto"/>
          <w:szCs w:val="21"/>
          <w:highlight w:val="none"/>
        </w:rPr>
        <w:t>1.发包人承诺按照法律规定履行项目审批手续、筹集工程建设资金并按照合同约定的期限和方式支付合同价款。</w:t>
      </w:r>
    </w:p>
    <w:p w14:paraId="08D64B3F">
      <w:pPr>
        <w:spacing w:line="360" w:lineRule="auto"/>
        <w:ind w:firstLine="420" w:firstLineChars="200"/>
        <w:rPr>
          <w:rFonts w:ascii="宋体" w:hAnsi="宋体"/>
          <w:bCs/>
          <w:color w:val="auto"/>
          <w:szCs w:val="21"/>
          <w:highlight w:val="none"/>
        </w:rPr>
      </w:pPr>
      <w:r>
        <w:rPr>
          <w:rFonts w:hint="eastAsia" w:ascii="宋体" w:hAnsi="宋体"/>
          <w:bCs/>
          <w:color w:val="auto"/>
          <w:szCs w:val="21"/>
          <w:highlight w:val="none"/>
        </w:rPr>
        <w:t>2.</w:t>
      </w:r>
      <w:r>
        <w:rPr>
          <w:rFonts w:hint="eastAsia" w:ascii="宋体" w:hAnsi="宋体"/>
          <w:color w:val="auto"/>
          <w:szCs w:val="21"/>
          <w:highlight w:val="none"/>
        </w:rPr>
        <w:t>承包人承诺按照法律规定及合同约定组织完成工程施工，确保工程质量和安全，不进行转包及违法分包，并在缺陷责任期及保修期内承担相应的工程维修责任</w:t>
      </w:r>
      <w:r>
        <w:rPr>
          <w:rFonts w:hint="eastAsia" w:ascii="宋体" w:hAnsi="宋体"/>
          <w:bCs/>
          <w:color w:val="auto"/>
          <w:szCs w:val="21"/>
          <w:highlight w:val="none"/>
        </w:rPr>
        <w:t>。</w:t>
      </w:r>
    </w:p>
    <w:p w14:paraId="4C2CEAED">
      <w:pPr>
        <w:spacing w:line="360" w:lineRule="auto"/>
        <w:ind w:firstLine="420" w:firstLineChars="200"/>
        <w:rPr>
          <w:rFonts w:ascii="宋体" w:hAnsi="宋体"/>
          <w:bCs/>
          <w:color w:val="auto"/>
          <w:szCs w:val="21"/>
          <w:highlight w:val="none"/>
        </w:rPr>
      </w:pPr>
      <w:r>
        <w:rPr>
          <w:rFonts w:hint="eastAsia" w:ascii="宋体" w:hAnsi="宋体"/>
          <w:bCs/>
          <w:color w:val="auto"/>
          <w:szCs w:val="21"/>
          <w:highlight w:val="none"/>
        </w:rPr>
        <w:t>3.发包人和承包人通过招投标形式签订合同的，双方理解并承诺不再就同一工程另行签订与合同实质性内容相背离的协议。</w:t>
      </w:r>
    </w:p>
    <w:p w14:paraId="2AE2EFCE">
      <w:pPr>
        <w:pStyle w:val="6"/>
        <w:keepNext/>
        <w:keepLines/>
        <w:spacing w:before="120" w:after="120" w:line="360" w:lineRule="auto"/>
        <w:ind w:firstLine="420" w:firstLineChars="200"/>
        <w:jc w:val="both"/>
        <w:rPr>
          <w:color w:val="auto"/>
          <w:szCs w:val="21"/>
          <w:highlight w:val="none"/>
        </w:rPr>
      </w:pPr>
      <w:bookmarkStart w:id="256" w:name="_Toc532377173"/>
      <w:bookmarkStart w:id="257" w:name="_Toc532375580"/>
      <w:bookmarkStart w:id="258" w:name="_Toc351203488"/>
      <w:r>
        <w:rPr>
          <w:rFonts w:hint="eastAsia"/>
          <w:color w:val="auto"/>
          <w:szCs w:val="21"/>
          <w:highlight w:val="none"/>
        </w:rPr>
        <w:t>八、词语含义</w:t>
      </w:r>
      <w:bookmarkEnd w:id="256"/>
      <w:bookmarkEnd w:id="257"/>
      <w:bookmarkEnd w:id="258"/>
    </w:p>
    <w:p w14:paraId="1AAC3734">
      <w:pPr>
        <w:spacing w:line="360" w:lineRule="auto"/>
        <w:ind w:firstLine="420" w:firstLineChars="200"/>
        <w:rPr>
          <w:rFonts w:ascii="宋体" w:hAnsi="宋体"/>
          <w:bCs/>
          <w:color w:val="auto"/>
          <w:szCs w:val="21"/>
          <w:highlight w:val="none"/>
        </w:rPr>
      </w:pPr>
      <w:r>
        <w:rPr>
          <w:rFonts w:hint="eastAsia" w:ascii="宋体" w:hAnsi="宋体"/>
          <w:bCs/>
          <w:color w:val="auto"/>
          <w:szCs w:val="21"/>
          <w:highlight w:val="none"/>
        </w:rPr>
        <w:t>本协议书中词语含义与专用合同条款及通用合同条款中赋予的含义相同。</w:t>
      </w:r>
    </w:p>
    <w:p w14:paraId="45F2E2D4">
      <w:pPr>
        <w:pStyle w:val="6"/>
        <w:keepNext/>
        <w:keepLines/>
        <w:spacing w:before="120" w:after="120" w:line="360" w:lineRule="auto"/>
        <w:ind w:firstLine="420" w:firstLineChars="200"/>
        <w:jc w:val="both"/>
        <w:rPr>
          <w:color w:val="auto"/>
          <w:szCs w:val="21"/>
          <w:highlight w:val="none"/>
        </w:rPr>
      </w:pPr>
      <w:bookmarkStart w:id="259" w:name="_Toc532375581"/>
      <w:bookmarkStart w:id="260" w:name="_Toc532377174"/>
      <w:r>
        <w:rPr>
          <w:rFonts w:hint="eastAsia"/>
          <w:color w:val="auto"/>
          <w:szCs w:val="21"/>
          <w:highlight w:val="none"/>
        </w:rPr>
        <w:t>九、签订时间</w:t>
      </w:r>
      <w:bookmarkEnd w:id="259"/>
      <w:bookmarkEnd w:id="260"/>
    </w:p>
    <w:p w14:paraId="1EDBF614">
      <w:pPr>
        <w:spacing w:line="360" w:lineRule="auto"/>
        <w:ind w:firstLine="420" w:firstLineChars="200"/>
        <w:rPr>
          <w:rFonts w:ascii="宋体" w:hAnsi="宋体"/>
          <w:color w:val="auto"/>
          <w:szCs w:val="21"/>
          <w:highlight w:val="none"/>
        </w:rPr>
      </w:pPr>
      <w:r>
        <w:rPr>
          <w:rFonts w:hint="eastAsia" w:ascii="宋体" w:hAnsi="宋体"/>
          <w:bCs/>
          <w:color w:val="auto"/>
          <w:szCs w:val="21"/>
          <w:highlight w:val="none"/>
        </w:rPr>
        <w:t>合同于</w:t>
      </w:r>
      <w:r>
        <w:rPr>
          <w:rFonts w:hint="eastAsia" w:ascii="宋体" w:hAnsi="宋体"/>
          <w:bCs/>
          <w:color w:val="auto"/>
          <w:szCs w:val="21"/>
          <w:highlight w:val="none"/>
          <w:u w:val="single"/>
        </w:rPr>
        <w:t xml:space="preserve">    </w:t>
      </w:r>
      <w:r>
        <w:rPr>
          <w:rFonts w:hint="eastAsia" w:ascii="宋体" w:hAnsi="宋体"/>
          <w:bCs/>
          <w:color w:val="auto"/>
          <w:szCs w:val="21"/>
          <w:highlight w:val="none"/>
        </w:rPr>
        <w:t>年</w:t>
      </w:r>
      <w:r>
        <w:rPr>
          <w:rFonts w:hint="eastAsia" w:ascii="宋体" w:hAnsi="宋体"/>
          <w:bCs/>
          <w:color w:val="auto"/>
          <w:szCs w:val="21"/>
          <w:highlight w:val="none"/>
          <w:u w:val="single"/>
        </w:rPr>
        <w:t xml:space="preserve">    </w:t>
      </w:r>
      <w:r>
        <w:rPr>
          <w:rFonts w:hint="eastAsia" w:ascii="宋体" w:hAnsi="宋体"/>
          <w:bCs/>
          <w:color w:val="auto"/>
          <w:szCs w:val="21"/>
          <w:highlight w:val="none"/>
        </w:rPr>
        <w:t>月</w:t>
      </w:r>
      <w:r>
        <w:rPr>
          <w:rFonts w:hint="eastAsia" w:ascii="宋体" w:hAnsi="宋体"/>
          <w:bCs/>
          <w:color w:val="auto"/>
          <w:szCs w:val="21"/>
          <w:highlight w:val="none"/>
          <w:u w:val="single"/>
        </w:rPr>
        <w:t xml:space="preserve">    </w:t>
      </w:r>
      <w:r>
        <w:rPr>
          <w:rFonts w:hint="eastAsia" w:ascii="宋体" w:hAnsi="宋体"/>
          <w:bCs/>
          <w:color w:val="auto"/>
          <w:szCs w:val="21"/>
          <w:highlight w:val="none"/>
        </w:rPr>
        <w:t>日签订</w:t>
      </w:r>
    </w:p>
    <w:p w14:paraId="0E478D2C">
      <w:pPr>
        <w:pStyle w:val="6"/>
        <w:keepNext/>
        <w:keepLines/>
        <w:spacing w:before="120" w:after="120" w:line="360" w:lineRule="auto"/>
        <w:ind w:firstLine="420" w:firstLineChars="200"/>
        <w:jc w:val="both"/>
        <w:rPr>
          <w:color w:val="auto"/>
          <w:szCs w:val="21"/>
          <w:highlight w:val="none"/>
        </w:rPr>
      </w:pPr>
      <w:bookmarkStart w:id="261" w:name="_Toc351203489"/>
      <w:bookmarkStart w:id="262" w:name="_Toc532377175"/>
      <w:bookmarkStart w:id="263" w:name="_Toc532375582"/>
      <w:r>
        <w:rPr>
          <w:rFonts w:hint="eastAsia"/>
          <w:color w:val="auto"/>
          <w:szCs w:val="21"/>
          <w:highlight w:val="none"/>
        </w:rPr>
        <w:t>十、</w:t>
      </w:r>
      <w:bookmarkEnd w:id="261"/>
      <w:bookmarkStart w:id="264" w:name="_Toc351203490"/>
      <w:r>
        <w:rPr>
          <w:rFonts w:hint="eastAsia"/>
          <w:color w:val="auto"/>
          <w:szCs w:val="21"/>
          <w:highlight w:val="none"/>
        </w:rPr>
        <w:t>签订地点</w:t>
      </w:r>
      <w:bookmarkEnd w:id="262"/>
      <w:bookmarkEnd w:id="263"/>
      <w:bookmarkEnd w:id="264"/>
    </w:p>
    <w:p w14:paraId="16D82395">
      <w:pPr>
        <w:spacing w:line="360" w:lineRule="auto"/>
        <w:ind w:firstLine="420" w:firstLineChars="200"/>
        <w:rPr>
          <w:rFonts w:ascii="宋体" w:hAnsi="宋体"/>
          <w:bCs/>
          <w:color w:val="auto"/>
          <w:szCs w:val="21"/>
          <w:highlight w:val="none"/>
        </w:rPr>
      </w:pPr>
      <w:r>
        <w:rPr>
          <w:rFonts w:hint="eastAsia" w:ascii="宋体" w:hAnsi="宋体"/>
          <w:bCs/>
          <w:color w:val="auto"/>
          <w:szCs w:val="21"/>
          <w:highlight w:val="none"/>
        </w:rPr>
        <w:t>合同在</w:t>
      </w:r>
      <w:r>
        <w:rPr>
          <w:rFonts w:hint="eastAsia" w:ascii="宋体" w:hAnsi="宋体"/>
          <w:bCs/>
          <w:color w:val="auto"/>
          <w:szCs w:val="21"/>
          <w:highlight w:val="none"/>
          <w:u w:val="single"/>
        </w:rPr>
        <w:t xml:space="preserve">            </w:t>
      </w:r>
      <w:r>
        <w:rPr>
          <w:rFonts w:hint="eastAsia" w:ascii="宋体" w:hAnsi="宋体"/>
          <w:bCs/>
          <w:color w:val="auto"/>
          <w:szCs w:val="21"/>
          <w:highlight w:val="none"/>
        </w:rPr>
        <w:t>签订。</w:t>
      </w:r>
    </w:p>
    <w:p w14:paraId="69F882F2">
      <w:pPr>
        <w:pStyle w:val="6"/>
        <w:keepNext/>
        <w:keepLines/>
        <w:spacing w:before="120" w:after="120" w:line="360" w:lineRule="auto"/>
        <w:ind w:firstLine="420" w:firstLineChars="200"/>
        <w:jc w:val="both"/>
        <w:rPr>
          <w:color w:val="auto"/>
          <w:szCs w:val="21"/>
          <w:highlight w:val="none"/>
        </w:rPr>
      </w:pPr>
      <w:bookmarkStart w:id="265" w:name="_Toc351203491"/>
      <w:bookmarkStart w:id="266" w:name="_Toc532375583"/>
      <w:bookmarkStart w:id="267" w:name="_Toc532377176"/>
      <w:r>
        <w:rPr>
          <w:rFonts w:hint="eastAsia"/>
          <w:color w:val="auto"/>
          <w:szCs w:val="21"/>
          <w:highlight w:val="none"/>
        </w:rPr>
        <w:t>十一、补充协议</w:t>
      </w:r>
      <w:bookmarkEnd w:id="265"/>
      <w:bookmarkEnd w:id="266"/>
      <w:bookmarkEnd w:id="267"/>
    </w:p>
    <w:p w14:paraId="3344F1F1">
      <w:pPr>
        <w:spacing w:line="360" w:lineRule="auto"/>
        <w:ind w:firstLine="420" w:firstLineChars="200"/>
        <w:rPr>
          <w:rFonts w:ascii="宋体" w:hAnsi="宋体"/>
          <w:b/>
          <w:bCs/>
          <w:color w:val="auto"/>
          <w:szCs w:val="21"/>
          <w:highlight w:val="none"/>
        </w:rPr>
      </w:pPr>
      <w:r>
        <w:rPr>
          <w:rFonts w:hint="eastAsia" w:ascii="宋体" w:hAnsi="宋体"/>
          <w:bCs/>
          <w:color w:val="auto"/>
          <w:szCs w:val="21"/>
          <w:highlight w:val="none"/>
        </w:rPr>
        <w:t>合同未尽事宜，合同当事人另行签订补充协议，补充协议是合同的组成部分。</w:t>
      </w:r>
    </w:p>
    <w:p w14:paraId="49875398">
      <w:pPr>
        <w:pStyle w:val="6"/>
        <w:keepNext/>
        <w:keepLines/>
        <w:spacing w:before="120" w:after="120" w:line="360" w:lineRule="auto"/>
        <w:ind w:firstLine="420" w:firstLineChars="200"/>
        <w:jc w:val="both"/>
        <w:rPr>
          <w:color w:val="auto"/>
          <w:szCs w:val="21"/>
          <w:highlight w:val="none"/>
        </w:rPr>
      </w:pPr>
      <w:bookmarkStart w:id="268" w:name="_Toc532375584"/>
      <w:bookmarkStart w:id="269" w:name="_Toc532377177"/>
      <w:bookmarkStart w:id="270" w:name="_Toc351203492"/>
      <w:r>
        <w:rPr>
          <w:rFonts w:hint="eastAsia"/>
          <w:color w:val="auto"/>
          <w:szCs w:val="21"/>
          <w:highlight w:val="none"/>
        </w:rPr>
        <w:t>十二、合同生效</w:t>
      </w:r>
      <w:bookmarkEnd w:id="268"/>
      <w:bookmarkEnd w:id="269"/>
      <w:bookmarkEnd w:id="270"/>
    </w:p>
    <w:p w14:paraId="144D6F2F">
      <w:pPr>
        <w:spacing w:line="360" w:lineRule="auto"/>
        <w:ind w:firstLine="420" w:firstLineChars="200"/>
        <w:rPr>
          <w:rFonts w:ascii="宋体" w:hAnsi="宋体"/>
          <w:bCs/>
          <w:color w:val="auto"/>
          <w:szCs w:val="21"/>
          <w:highlight w:val="none"/>
        </w:rPr>
      </w:pPr>
      <w:r>
        <w:rPr>
          <w:rFonts w:hint="eastAsia" w:ascii="宋体" w:hAnsi="宋体"/>
          <w:bCs/>
          <w:color w:val="auto"/>
          <w:szCs w:val="21"/>
          <w:highlight w:val="none"/>
        </w:rPr>
        <w:t>合同在以下条件全部满足之后生效：</w:t>
      </w:r>
    </w:p>
    <w:p w14:paraId="7E4D161B">
      <w:pPr>
        <w:spacing w:line="360" w:lineRule="auto"/>
        <w:ind w:firstLine="420" w:firstLineChars="200"/>
        <w:rPr>
          <w:rFonts w:ascii="宋体" w:hAnsi="宋体"/>
          <w:color w:val="auto"/>
          <w:szCs w:val="21"/>
          <w:highlight w:val="none"/>
        </w:rPr>
      </w:pPr>
      <w:r>
        <w:rPr>
          <w:rFonts w:hint="eastAsia" w:ascii="宋体" w:hAnsi="宋体"/>
          <w:bCs/>
          <w:color w:val="auto"/>
          <w:szCs w:val="21"/>
          <w:highlight w:val="none"/>
        </w:rPr>
        <w:t>1.合同</w:t>
      </w:r>
      <w:r>
        <w:rPr>
          <w:rFonts w:hint="eastAsia" w:ascii="宋体" w:hAnsi="宋体"/>
          <w:color w:val="auto"/>
          <w:szCs w:val="21"/>
          <w:highlight w:val="none"/>
        </w:rPr>
        <w:t>经双方法定代表人或其委托代理人签名并加盖单位</w:t>
      </w:r>
      <w:r>
        <w:rPr>
          <w:rFonts w:hint="eastAsia" w:ascii="宋体" w:hAnsi="宋体"/>
          <w:snapToGrid w:val="0"/>
          <w:color w:val="auto"/>
          <w:kern w:val="0"/>
          <w:szCs w:val="21"/>
          <w:highlight w:val="none"/>
        </w:rPr>
        <w:t>公章或合同专用章</w:t>
      </w:r>
      <w:r>
        <w:rPr>
          <w:rFonts w:hint="eastAsia" w:ascii="宋体" w:hAnsi="宋体"/>
          <w:color w:val="auto"/>
          <w:szCs w:val="21"/>
          <w:highlight w:val="none"/>
        </w:rPr>
        <w:t>；</w:t>
      </w:r>
    </w:p>
    <w:p w14:paraId="3D407D89">
      <w:pPr>
        <w:spacing w:line="360" w:lineRule="auto"/>
        <w:ind w:firstLine="420" w:firstLineChars="200"/>
        <w:rPr>
          <w:rFonts w:ascii="宋体" w:hAnsi="宋体"/>
          <w:color w:val="auto"/>
          <w:szCs w:val="21"/>
          <w:highlight w:val="none"/>
        </w:rPr>
      </w:pPr>
      <w:r>
        <w:rPr>
          <w:rFonts w:hint="eastAsia" w:ascii="宋体" w:hAnsi="宋体"/>
          <w:color w:val="auto"/>
          <w:szCs w:val="21"/>
          <w:highlight w:val="none"/>
        </w:rPr>
        <w:t>2.采用保函形式递交履约担保的，承包人按合同约定向发包人提交履约担保后；</w:t>
      </w:r>
    </w:p>
    <w:p w14:paraId="4143F22B">
      <w:pPr>
        <w:spacing w:line="360" w:lineRule="auto"/>
        <w:ind w:firstLine="420" w:firstLineChars="200"/>
        <w:rPr>
          <w:rFonts w:ascii="宋体" w:hAnsi="宋体"/>
          <w:bCs/>
          <w:color w:val="auto"/>
          <w:szCs w:val="21"/>
          <w:highlight w:val="none"/>
        </w:rPr>
      </w:pPr>
      <w:r>
        <w:rPr>
          <w:rFonts w:hint="eastAsia" w:ascii="宋体" w:hAnsi="宋体"/>
          <w:bCs/>
          <w:color w:val="auto"/>
          <w:szCs w:val="21"/>
          <w:highlight w:val="none"/>
        </w:rPr>
        <w:t>3.</w:t>
      </w:r>
      <w:r>
        <w:rPr>
          <w:rFonts w:hint="eastAsia" w:ascii="宋体" w:hAnsi="宋体"/>
          <w:color w:val="auto"/>
          <w:szCs w:val="21"/>
          <w:highlight w:val="none"/>
          <w:u w:val="single"/>
        </w:rPr>
        <w:t xml:space="preserve">        </w:t>
      </w:r>
      <w:r>
        <w:rPr>
          <w:rFonts w:hint="eastAsia" w:ascii="宋体" w:hAnsi="宋体"/>
          <w:color w:val="auto"/>
          <w:szCs w:val="21"/>
          <w:highlight w:val="none"/>
        </w:rPr>
        <w:t>。</w:t>
      </w:r>
    </w:p>
    <w:p w14:paraId="182D5DFA">
      <w:pPr>
        <w:pStyle w:val="6"/>
        <w:keepNext/>
        <w:keepLines/>
        <w:spacing w:before="120" w:after="120" w:line="360" w:lineRule="auto"/>
        <w:ind w:firstLine="420" w:firstLineChars="200"/>
        <w:jc w:val="both"/>
        <w:rPr>
          <w:color w:val="auto"/>
          <w:szCs w:val="21"/>
          <w:highlight w:val="none"/>
        </w:rPr>
      </w:pPr>
      <w:bookmarkStart w:id="271" w:name="_Toc532377178"/>
      <w:bookmarkStart w:id="272" w:name="_Toc351203493"/>
      <w:bookmarkStart w:id="273" w:name="_Toc532375585"/>
      <w:r>
        <w:rPr>
          <w:rFonts w:hint="eastAsia"/>
          <w:color w:val="auto"/>
          <w:szCs w:val="21"/>
          <w:highlight w:val="none"/>
        </w:rPr>
        <w:t>十三、合同份数</w:t>
      </w:r>
      <w:bookmarkEnd w:id="271"/>
      <w:bookmarkEnd w:id="272"/>
      <w:bookmarkEnd w:id="273"/>
    </w:p>
    <w:p w14:paraId="04DE49A6">
      <w:pPr>
        <w:spacing w:line="360" w:lineRule="auto"/>
        <w:ind w:firstLine="420" w:firstLineChars="200"/>
        <w:rPr>
          <w:rFonts w:ascii="宋体" w:hAnsi="宋体"/>
          <w:bCs/>
          <w:color w:val="auto"/>
          <w:szCs w:val="21"/>
          <w:highlight w:val="none"/>
        </w:rPr>
      </w:pPr>
      <w:r>
        <w:rPr>
          <w:rFonts w:hint="eastAsia" w:ascii="宋体" w:hAnsi="宋体" w:cs="Microsoft Sans Serif"/>
          <w:bCs/>
          <w:color w:val="auto"/>
          <w:szCs w:val="21"/>
          <w:highlight w:val="none"/>
        </w:rPr>
        <w:t>合同一式</w:t>
      </w:r>
      <w:r>
        <w:rPr>
          <w:rFonts w:hint="eastAsia" w:ascii="宋体" w:hAnsi="宋体" w:cs="Microsoft Sans Serif"/>
          <w:bCs/>
          <w:color w:val="auto"/>
          <w:szCs w:val="21"/>
          <w:highlight w:val="none"/>
          <w:u w:val="single"/>
        </w:rPr>
        <w:t xml:space="preserve">     </w:t>
      </w:r>
      <w:r>
        <w:rPr>
          <w:rFonts w:hint="eastAsia" w:ascii="宋体" w:hAnsi="宋体" w:cs="Microsoft Sans Serif"/>
          <w:bCs/>
          <w:color w:val="auto"/>
          <w:szCs w:val="21"/>
          <w:highlight w:val="none"/>
        </w:rPr>
        <w:t>份，其中正本</w:t>
      </w:r>
      <w:r>
        <w:rPr>
          <w:rFonts w:hint="eastAsia" w:ascii="宋体" w:hAnsi="宋体" w:cs="Microsoft Sans Serif"/>
          <w:bCs/>
          <w:color w:val="auto"/>
          <w:szCs w:val="21"/>
          <w:highlight w:val="none"/>
          <w:u w:val="single"/>
        </w:rPr>
        <w:t xml:space="preserve">    </w:t>
      </w:r>
      <w:r>
        <w:rPr>
          <w:rFonts w:hint="eastAsia" w:ascii="宋体" w:hAnsi="宋体" w:cs="Microsoft Sans Serif"/>
          <w:bCs/>
          <w:color w:val="auto"/>
          <w:szCs w:val="21"/>
          <w:highlight w:val="none"/>
        </w:rPr>
        <w:t>份，双方各持</w:t>
      </w:r>
      <w:r>
        <w:rPr>
          <w:rFonts w:hint="eastAsia" w:ascii="宋体" w:hAnsi="宋体" w:cs="Microsoft Sans Serif"/>
          <w:bCs/>
          <w:color w:val="auto"/>
          <w:szCs w:val="21"/>
          <w:highlight w:val="none"/>
          <w:u w:val="single"/>
        </w:rPr>
        <w:t xml:space="preserve">    </w:t>
      </w:r>
      <w:r>
        <w:rPr>
          <w:rFonts w:hint="eastAsia" w:ascii="宋体" w:hAnsi="宋体" w:cs="Microsoft Sans Serif"/>
          <w:bCs/>
          <w:color w:val="auto"/>
          <w:szCs w:val="21"/>
          <w:highlight w:val="none"/>
        </w:rPr>
        <w:t>份，副本</w:t>
      </w:r>
      <w:r>
        <w:rPr>
          <w:rFonts w:hint="eastAsia" w:ascii="宋体" w:hAnsi="宋体" w:cs="Microsoft Sans Serif"/>
          <w:bCs/>
          <w:color w:val="auto"/>
          <w:szCs w:val="21"/>
          <w:highlight w:val="none"/>
          <w:u w:val="single"/>
        </w:rPr>
        <w:t xml:space="preserve">    </w:t>
      </w:r>
      <w:r>
        <w:rPr>
          <w:rFonts w:hint="eastAsia" w:ascii="宋体" w:hAnsi="宋体" w:cs="Microsoft Sans Serif"/>
          <w:bCs/>
          <w:color w:val="auto"/>
          <w:szCs w:val="21"/>
          <w:highlight w:val="none"/>
        </w:rPr>
        <w:t>份，双方各执</w:t>
      </w:r>
      <w:r>
        <w:rPr>
          <w:rFonts w:hint="eastAsia" w:ascii="宋体" w:hAnsi="宋体" w:cs="Microsoft Sans Serif"/>
          <w:bCs/>
          <w:color w:val="auto"/>
          <w:szCs w:val="21"/>
          <w:highlight w:val="none"/>
          <w:u w:val="single"/>
        </w:rPr>
        <w:t xml:space="preserve">    </w:t>
      </w:r>
      <w:r>
        <w:rPr>
          <w:rFonts w:hint="eastAsia" w:ascii="宋体" w:hAnsi="宋体" w:cs="Microsoft Sans Serif"/>
          <w:bCs/>
          <w:color w:val="auto"/>
          <w:szCs w:val="21"/>
          <w:highlight w:val="none"/>
        </w:rPr>
        <w:t>份。副本与正本不一致时，以正本为准</w:t>
      </w:r>
      <w:r>
        <w:rPr>
          <w:rFonts w:hint="eastAsia" w:ascii="宋体" w:hAnsi="宋体"/>
          <w:bCs/>
          <w:color w:val="auto"/>
          <w:szCs w:val="21"/>
          <w:highlight w:val="none"/>
        </w:rPr>
        <w:t>。</w:t>
      </w:r>
    </w:p>
    <w:p w14:paraId="4615B861">
      <w:pPr>
        <w:spacing w:line="360" w:lineRule="auto"/>
        <w:ind w:firstLine="420" w:firstLineChars="200"/>
        <w:rPr>
          <w:rFonts w:ascii="宋体" w:hAnsi="宋体"/>
          <w:bCs/>
          <w:color w:val="auto"/>
          <w:szCs w:val="21"/>
          <w:highlight w:val="none"/>
        </w:rPr>
      </w:pPr>
    </w:p>
    <w:p w14:paraId="5908DB54">
      <w:pPr>
        <w:spacing w:line="360" w:lineRule="auto"/>
        <w:ind w:firstLine="420" w:firstLineChars="200"/>
        <w:rPr>
          <w:rFonts w:ascii="宋体" w:hAnsi="宋体"/>
          <w:bCs/>
          <w:color w:val="auto"/>
          <w:szCs w:val="21"/>
          <w:highlight w:val="none"/>
        </w:rPr>
      </w:pPr>
      <w:r>
        <w:rPr>
          <w:rFonts w:hint="eastAsia" w:ascii="宋体" w:hAnsi="宋体"/>
          <w:bCs/>
          <w:color w:val="auto"/>
          <w:szCs w:val="21"/>
          <w:highlight w:val="none"/>
        </w:rPr>
        <w:t>（以下为签名盖章页）。</w:t>
      </w:r>
    </w:p>
    <w:p w14:paraId="00996DAE">
      <w:pPr>
        <w:pStyle w:val="2"/>
        <w:spacing w:line="360" w:lineRule="auto"/>
        <w:ind w:firstLine="400" w:firstLineChars="200"/>
        <w:rPr>
          <w:rFonts w:ascii="宋体" w:hAnsi="宋体"/>
          <w:color w:val="auto"/>
          <w:szCs w:val="21"/>
          <w:highlight w:val="none"/>
        </w:rPr>
      </w:pPr>
    </w:p>
    <w:p w14:paraId="37C2C4E1">
      <w:pPr>
        <w:pStyle w:val="2"/>
        <w:spacing w:line="360" w:lineRule="auto"/>
        <w:ind w:firstLine="400" w:firstLineChars="200"/>
        <w:rPr>
          <w:rFonts w:ascii="宋体" w:hAnsi="宋体"/>
          <w:color w:val="auto"/>
          <w:szCs w:val="21"/>
          <w:highlight w:val="none"/>
        </w:rPr>
      </w:pPr>
    </w:p>
    <w:p w14:paraId="730952DA">
      <w:pPr>
        <w:adjustRightInd w:val="0"/>
        <w:spacing w:line="360" w:lineRule="auto"/>
        <w:ind w:firstLine="420" w:firstLineChars="200"/>
        <w:rPr>
          <w:rFonts w:ascii="宋体" w:hAnsi="宋体"/>
          <w:snapToGrid w:val="0"/>
          <w:color w:val="auto"/>
          <w:kern w:val="0"/>
          <w:szCs w:val="21"/>
          <w:highlight w:val="none"/>
        </w:rPr>
      </w:pPr>
      <w:bookmarkStart w:id="274" w:name="_Toc467689623"/>
      <w:r>
        <w:rPr>
          <w:rFonts w:ascii="宋体" w:hAnsi="宋体"/>
          <w:snapToGrid w:val="0"/>
          <w:color w:val="auto"/>
          <w:kern w:val="0"/>
          <w:szCs w:val="21"/>
          <w:highlight w:val="none"/>
        </w:rPr>
        <w:t>发包人：</w:t>
      </w:r>
      <w:r>
        <w:rPr>
          <w:rFonts w:ascii="宋体" w:hAnsi="宋体"/>
          <w:snapToGrid w:val="0"/>
          <w:color w:val="auto"/>
          <w:kern w:val="0"/>
          <w:szCs w:val="21"/>
          <w:highlight w:val="none"/>
          <w:u w:val="single"/>
        </w:rPr>
        <w:t xml:space="preserve">                           </w:t>
      </w:r>
      <w:r>
        <w:rPr>
          <w:rFonts w:hint="eastAsia" w:ascii="宋体" w:hAnsi="宋体"/>
          <w:snapToGrid w:val="0"/>
          <w:color w:val="auto"/>
          <w:kern w:val="0"/>
          <w:szCs w:val="21"/>
          <w:highlight w:val="none"/>
          <w:u w:val="single"/>
        </w:rPr>
        <w:t xml:space="preserve">           </w:t>
      </w:r>
      <w:r>
        <w:rPr>
          <w:rFonts w:ascii="宋体" w:hAnsi="宋体"/>
          <w:snapToGrid w:val="0"/>
          <w:color w:val="auto"/>
          <w:kern w:val="0"/>
          <w:szCs w:val="21"/>
          <w:highlight w:val="none"/>
        </w:rPr>
        <w:t>（</w:t>
      </w:r>
      <w:r>
        <w:rPr>
          <w:rFonts w:hint="eastAsia" w:ascii="宋体" w:hAnsi="宋体"/>
          <w:snapToGrid w:val="0"/>
          <w:color w:val="auto"/>
          <w:kern w:val="0"/>
          <w:szCs w:val="21"/>
          <w:highlight w:val="none"/>
        </w:rPr>
        <w:t>盖单位</w:t>
      </w:r>
      <w:r>
        <w:rPr>
          <w:rFonts w:ascii="宋体" w:hAnsi="宋体"/>
          <w:snapToGrid w:val="0"/>
          <w:color w:val="auto"/>
          <w:kern w:val="0"/>
          <w:szCs w:val="21"/>
          <w:highlight w:val="none"/>
        </w:rPr>
        <w:t>公章</w:t>
      </w:r>
      <w:r>
        <w:rPr>
          <w:rFonts w:hint="eastAsia" w:ascii="宋体" w:hAnsi="宋体"/>
          <w:snapToGrid w:val="0"/>
          <w:color w:val="auto"/>
          <w:kern w:val="0"/>
          <w:szCs w:val="21"/>
          <w:highlight w:val="none"/>
        </w:rPr>
        <w:t>或合同专用章</w:t>
      </w:r>
      <w:r>
        <w:rPr>
          <w:rFonts w:ascii="宋体" w:hAnsi="宋体"/>
          <w:snapToGrid w:val="0"/>
          <w:color w:val="auto"/>
          <w:kern w:val="0"/>
          <w:szCs w:val="21"/>
          <w:highlight w:val="none"/>
        </w:rPr>
        <w:t>）</w:t>
      </w:r>
    </w:p>
    <w:p w14:paraId="524FB78D">
      <w:pPr>
        <w:spacing w:line="360" w:lineRule="auto"/>
        <w:ind w:firstLine="420" w:firstLineChars="200"/>
        <w:rPr>
          <w:rFonts w:ascii="宋体" w:hAnsi="宋体"/>
          <w:snapToGrid w:val="0"/>
          <w:color w:val="auto"/>
          <w:kern w:val="0"/>
          <w:szCs w:val="21"/>
          <w:highlight w:val="none"/>
        </w:rPr>
      </w:pPr>
      <w:r>
        <w:rPr>
          <w:rFonts w:ascii="宋体" w:hAnsi="宋体"/>
          <w:snapToGrid w:val="0"/>
          <w:color w:val="auto"/>
          <w:kern w:val="0"/>
          <w:szCs w:val="21"/>
          <w:highlight w:val="none"/>
        </w:rPr>
        <w:t>法定代表人或其委托代理人：</w:t>
      </w:r>
      <w:r>
        <w:rPr>
          <w:rFonts w:ascii="宋体" w:hAnsi="宋体"/>
          <w:snapToGrid w:val="0"/>
          <w:color w:val="auto"/>
          <w:w w:val="200"/>
          <w:kern w:val="0"/>
          <w:szCs w:val="21"/>
          <w:highlight w:val="none"/>
          <w:u w:val="single"/>
        </w:rPr>
        <w:t xml:space="preserve"> </w:t>
      </w:r>
      <w:r>
        <w:rPr>
          <w:rFonts w:ascii="宋体" w:hAnsi="宋体"/>
          <w:snapToGrid w:val="0"/>
          <w:color w:val="auto"/>
          <w:kern w:val="0"/>
          <w:szCs w:val="21"/>
          <w:highlight w:val="none"/>
          <w:u w:val="single"/>
        </w:rPr>
        <w:t xml:space="preserve">                  </w:t>
      </w:r>
      <w:r>
        <w:rPr>
          <w:rFonts w:ascii="宋体" w:hAnsi="宋体"/>
          <w:snapToGrid w:val="0"/>
          <w:color w:val="auto"/>
          <w:kern w:val="0"/>
          <w:szCs w:val="21"/>
          <w:highlight w:val="none"/>
        </w:rPr>
        <w:t>（</w:t>
      </w:r>
      <w:r>
        <w:rPr>
          <w:rFonts w:hint="eastAsia" w:ascii="宋体" w:hAnsi="宋体"/>
          <w:snapToGrid w:val="0"/>
          <w:color w:val="auto"/>
          <w:kern w:val="0"/>
          <w:szCs w:val="21"/>
          <w:highlight w:val="none"/>
        </w:rPr>
        <w:t>签名</w:t>
      </w:r>
      <w:r>
        <w:rPr>
          <w:rFonts w:ascii="宋体" w:hAnsi="宋体"/>
          <w:snapToGrid w:val="0"/>
          <w:color w:val="auto"/>
          <w:kern w:val="0"/>
          <w:szCs w:val="21"/>
          <w:highlight w:val="none"/>
        </w:rPr>
        <w:t>）</w:t>
      </w:r>
    </w:p>
    <w:p w14:paraId="244B282F">
      <w:pPr>
        <w:spacing w:line="360" w:lineRule="auto"/>
        <w:ind w:firstLine="420" w:firstLineChars="200"/>
        <w:rPr>
          <w:rFonts w:ascii="宋体" w:hAnsi="宋体"/>
          <w:snapToGrid w:val="0"/>
          <w:color w:val="auto"/>
          <w:kern w:val="0"/>
          <w:szCs w:val="21"/>
          <w:highlight w:val="none"/>
        </w:rPr>
      </w:pPr>
      <w:r>
        <w:rPr>
          <w:rFonts w:hint="eastAsia" w:ascii="宋体" w:hAnsi="宋体"/>
          <w:snapToGrid w:val="0"/>
          <w:color w:val="auto"/>
          <w:kern w:val="0"/>
          <w:szCs w:val="21"/>
          <w:highlight w:val="none"/>
        </w:rPr>
        <w:t>统一社会信用代码：</w:t>
      </w:r>
      <w:r>
        <w:rPr>
          <w:rFonts w:ascii="宋体" w:hAnsi="宋体"/>
          <w:snapToGrid w:val="0"/>
          <w:color w:val="auto"/>
          <w:w w:val="200"/>
          <w:kern w:val="0"/>
          <w:szCs w:val="21"/>
          <w:highlight w:val="none"/>
          <w:u w:val="single"/>
        </w:rPr>
        <w:t xml:space="preserve"> </w:t>
      </w:r>
      <w:r>
        <w:rPr>
          <w:rFonts w:ascii="宋体" w:hAnsi="宋体"/>
          <w:snapToGrid w:val="0"/>
          <w:color w:val="auto"/>
          <w:kern w:val="0"/>
          <w:szCs w:val="21"/>
          <w:highlight w:val="none"/>
          <w:u w:val="single"/>
        </w:rPr>
        <w:t xml:space="preserve">                  </w:t>
      </w:r>
      <w:r>
        <w:rPr>
          <w:rFonts w:hint="eastAsia" w:ascii="宋体" w:hAnsi="宋体"/>
          <w:snapToGrid w:val="0"/>
          <w:color w:val="auto"/>
          <w:kern w:val="0"/>
          <w:szCs w:val="21"/>
          <w:highlight w:val="none"/>
          <w:u w:val="single"/>
        </w:rPr>
        <w:t xml:space="preserve">        </w:t>
      </w:r>
    </w:p>
    <w:p w14:paraId="51B5DB2F">
      <w:pPr>
        <w:spacing w:line="360" w:lineRule="auto"/>
        <w:ind w:firstLine="420" w:firstLineChars="200"/>
        <w:rPr>
          <w:rFonts w:ascii="宋体" w:hAnsi="宋体"/>
          <w:snapToGrid w:val="0"/>
          <w:color w:val="auto"/>
          <w:kern w:val="0"/>
          <w:szCs w:val="21"/>
          <w:highlight w:val="none"/>
          <w:u w:val="single"/>
        </w:rPr>
      </w:pPr>
      <w:r>
        <w:rPr>
          <w:rFonts w:hint="eastAsia" w:ascii="宋体" w:hAnsi="宋体"/>
          <w:snapToGrid w:val="0"/>
          <w:color w:val="auto"/>
          <w:kern w:val="0"/>
          <w:szCs w:val="21"/>
          <w:highlight w:val="none"/>
        </w:rPr>
        <w:t>纳税人识别号：</w:t>
      </w:r>
      <w:r>
        <w:rPr>
          <w:rFonts w:ascii="宋体" w:hAnsi="宋体"/>
          <w:snapToGrid w:val="0"/>
          <w:color w:val="auto"/>
          <w:w w:val="200"/>
          <w:kern w:val="0"/>
          <w:szCs w:val="21"/>
          <w:highlight w:val="none"/>
          <w:u w:val="single"/>
        </w:rPr>
        <w:t xml:space="preserve"> </w:t>
      </w:r>
      <w:r>
        <w:rPr>
          <w:rFonts w:ascii="宋体" w:hAnsi="宋体"/>
          <w:snapToGrid w:val="0"/>
          <w:color w:val="auto"/>
          <w:kern w:val="0"/>
          <w:szCs w:val="21"/>
          <w:highlight w:val="none"/>
          <w:u w:val="single"/>
        </w:rPr>
        <w:t xml:space="preserve">                  </w:t>
      </w:r>
      <w:r>
        <w:rPr>
          <w:rFonts w:hint="eastAsia" w:ascii="宋体" w:hAnsi="宋体"/>
          <w:snapToGrid w:val="0"/>
          <w:color w:val="auto"/>
          <w:kern w:val="0"/>
          <w:szCs w:val="21"/>
          <w:highlight w:val="none"/>
          <w:u w:val="single"/>
        </w:rPr>
        <w:t xml:space="preserve">            </w:t>
      </w:r>
    </w:p>
    <w:p w14:paraId="7B806D1E">
      <w:pPr>
        <w:spacing w:line="360" w:lineRule="auto"/>
        <w:ind w:firstLine="420" w:firstLineChars="200"/>
        <w:rPr>
          <w:rFonts w:ascii="宋体" w:hAnsi="宋体"/>
          <w:snapToGrid w:val="0"/>
          <w:color w:val="auto"/>
          <w:kern w:val="0"/>
          <w:szCs w:val="21"/>
          <w:highlight w:val="none"/>
          <w:u w:val="single"/>
        </w:rPr>
      </w:pPr>
      <w:r>
        <w:rPr>
          <w:rFonts w:hint="eastAsia" w:ascii="宋体" w:hAnsi="宋体"/>
          <w:snapToGrid w:val="0"/>
          <w:color w:val="auto"/>
          <w:kern w:val="0"/>
          <w:szCs w:val="21"/>
          <w:highlight w:val="none"/>
        </w:rPr>
        <w:t>地    址：</w:t>
      </w:r>
      <w:r>
        <w:rPr>
          <w:rFonts w:ascii="宋体" w:hAnsi="宋体"/>
          <w:snapToGrid w:val="0"/>
          <w:color w:val="auto"/>
          <w:w w:val="200"/>
          <w:kern w:val="0"/>
          <w:szCs w:val="21"/>
          <w:highlight w:val="none"/>
          <w:u w:val="single"/>
        </w:rPr>
        <w:t xml:space="preserve"> </w:t>
      </w:r>
      <w:r>
        <w:rPr>
          <w:rFonts w:ascii="宋体" w:hAnsi="宋体"/>
          <w:snapToGrid w:val="0"/>
          <w:color w:val="auto"/>
          <w:kern w:val="0"/>
          <w:szCs w:val="21"/>
          <w:highlight w:val="none"/>
          <w:u w:val="single"/>
        </w:rPr>
        <w:t xml:space="preserve">                  </w:t>
      </w:r>
      <w:r>
        <w:rPr>
          <w:rFonts w:hint="eastAsia" w:ascii="宋体" w:hAnsi="宋体"/>
          <w:snapToGrid w:val="0"/>
          <w:color w:val="auto"/>
          <w:kern w:val="0"/>
          <w:szCs w:val="21"/>
          <w:highlight w:val="none"/>
          <w:u w:val="single"/>
        </w:rPr>
        <w:t xml:space="preserve">                </w:t>
      </w:r>
    </w:p>
    <w:p w14:paraId="6D0A1996">
      <w:pPr>
        <w:spacing w:line="360" w:lineRule="auto"/>
        <w:ind w:firstLine="420" w:firstLineChars="200"/>
        <w:rPr>
          <w:rFonts w:ascii="宋体" w:hAnsi="宋体"/>
          <w:snapToGrid w:val="0"/>
          <w:color w:val="auto"/>
          <w:kern w:val="0"/>
          <w:szCs w:val="21"/>
          <w:highlight w:val="none"/>
          <w:u w:val="single"/>
        </w:rPr>
      </w:pPr>
      <w:r>
        <w:rPr>
          <w:rFonts w:hint="eastAsia" w:ascii="宋体" w:hAnsi="宋体"/>
          <w:snapToGrid w:val="0"/>
          <w:color w:val="auto"/>
          <w:kern w:val="0"/>
          <w:szCs w:val="21"/>
          <w:highlight w:val="none"/>
        </w:rPr>
        <w:t>电    话：</w:t>
      </w:r>
      <w:r>
        <w:rPr>
          <w:rFonts w:ascii="宋体" w:hAnsi="宋体"/>
          <w:snapToGrid w:val="0"/>
          <w:color w:val="auto"/>
          <w:w w:val="200"/>
          <w:kern w:val="0"/>
          <w:szCs w:val="21"/>
          <w:highlight w:val="none"/>
          <w:u w:val="single"/>
        </w:rPr>
        <w:t xml:space="preserve"> </w:t>
      </w:r>
      <w:r>
        <w:rPr>
          <w:rFonts w:ascii="宋体" w:hAnsi="宋体"/>
          <w:snapToGrid w:val="0"/>
          <w:color w:val="auto"/>
          <w:kern w:val="0"/>
          <w:szCs w:val="21"/>
          <w:highlight w:val="none"/>
          <w:u w:val="single"/>
        </w:rPr>
        <w:t xml:space="preserve">                  </w:t>
      </w:r>
      <w:r>
        <w:rPr>
          <w:rFonts w:hint="eastAsia" w:ascii="宋体" w:hAnsi="宋体"/>
          <w:snapToGrid w:val="0"/>
          <w:color w:val="auto"/>
          <w:kern w:val="0"/>
          <w:szCs w:val="21"/>
          <w:highlight w:val="none"/>
          <w:u w:val="single"/>
        </w:rPr>
        <w:t xml:space="preserve">                </w:t>
      </w:r>
    </w:p>
    <w:p w14:paraId="2DC2E8AF">
      <w:pPr>
        <w:spacing w:line="360" w:lineRule="auto"/>
        <w:ind w:firstLine="420" w:firstLineChars="200"/>
        <w:rPr>
          <w:rFonts w:ascii="宋体" w:hAnsi="宋体"/>
          <w:snapToGrid w:val="0"/>
          <w:color w:val="auto"/>
          <w:kern w:val="0"/>
          <w:szCs w:val="21"/>
          <w:highlight w:val="none"/>
          <w:u w:val="single"/>
        </w:rPr>
      </w:pPr>
      <w:r>
        <w:rPr>
          <w:rFonts w:hint="eastAsia" w:ascii="宋体" w:hAnsi="宋体"/>
          <w:snapToGrid w:val="0"/>
          <w:color w:val="auto"/>
          <w:kern w:val="0"/>
          <w:szCs w:val="21"/>
          <w:highlight w:val="none"/>
        </w:rPr>
        <w:t>开户银行：</w:t>
      </w:r>
      <w:r>
        <w:rPr>
          <w:rFonts w:ascii="宋体" w:hAnsi="宋体"/>
          <w:snapToGrid w:val="0"/>
          <w:color w:val="auto"/>
          <w:w w:val="200"/>
          <w:kern w:val="0"/>
          <w:szCs w:val="21"/>
          <w:highlight w:val="none"/>
          <w:u w:val="single"/>
        </w:rPr>
        <w:t xml:space="preserve"> </w:t>
      </w:r>
      <w:r>
        <w:rPr>
          <w:rFonts w:ascii="宋体" w:hAnsi="宋体"/>
          <w:snapToGrid w:val="0"/>
          <w:color w:val="auto"/>
          <w:kern w:val="0"/>
          <w:szCs w:val="21"/>
          <w:highlight w:val="none"/>
          <w:u w:val="single"/>
        </w:rPr>
        <w:t xml:space="preserve">                  </w:t>
      </w:r>
      <w:r>
        <w:rPr>
          <w:rFonts w:hint="eastAsia" w:ascii="宋体" w:hAnsi="宋体"/>
          <w:snapToGrid w:val="0"/>
          <w:color w:val="auto"/>
          <w:kern w:val="0"/>
          <w:szCs w:val="21"/>
          <w:highlight w:val="none"/>
          <w:u w:val="single"/>
        </w:rPr>
        <w:t xml:space="preserve">                </w:t>
      </w:r>
    </w:p>
    <w:p w14:paraId="10751311">
      <w:pPr>
        <w:spacing w:line="360" w:lineRule="auto"/>
        <w:ind w:firstLine="420" w:firstLineChars="200"/>
        <w:rPr>
          <w:rFonts w:ascii="宋体" w:hAnsi="宋体"/>
          <w:color w:val="auto"/>
          <w:szCs w:val="21"/>
          <w:highlight w:val="none"/>
        </w:rPr>
      </w:pPr>
      <w:r>
        <w:rPr>
          <w:rFonts w:hint="eastAsia" w:ascii="宋体" w:hAnsi="宋体"/>
          <w:snapToGrid w:val="0"/>
          <w:color w:val="auto"/>
          <w:kern w:val="0"/>
          <w:szCs w:val="21"/>
          <w:highlight w:val="none"/>
        </w:rPr>
        <w:t>账    号：</w:t>
      </w:r>
      <w:r>
        <w:rPr>
          <w:rFonts w:ascii="宋体" w:hAnsi="宋体"/>
          <w:snapToGrid w:val="0"/>
          <w:color w:val="auto"/>
          <w:w w:val="200"/>
          <w:kern w:val="0"/>
          <w:szCs w:val="21"/>
          <w:highlight w:val="none"/>
          <w:u w:val="single"/>
        </w:rPr>
        <w:t xml:space="preserve"> </w:t>
      </w:r>
      <w:r>
        <w:rPr>
          <w:rFonts w:ascii="宋体" w:hAnsi="宋体"/>
          <w:snapToGrid w:val="0"/>
          <w:color w:val="auto"/>
          <w:kern w:val="0"/>
          <w:szCs w:val="21"/>
          <w:highlight w:val="none"/>
          <w:u w:val="single"/>
        </w:rPr>
        <w:t xml:space="preserve">                  </w:t>
      </w:r>
      <w:r>
        <w:rPr>
          <w:rFonts w:hint="eastAsia" w:ascii="宋体" w:hAnsi="宋体"/>
          <w:snapToGrid w:val="0"/>
          <w:color w:val="auto"/>
          <w:kern w:val="0"/>
          <w:szCs w:val="21"/>
          <w:highlight w:val="none"/>
          <w:u w:val="single"/>
        </w:rPr>
        <w:t xml:space="preserve">                </w:t>
      </w:r>
    </w:p>
    <w:p w14:paraId="35EC83D7">
      <w:pPr>
        <w:spacing w:line="360" w:lineRule="auto"/>
        <w:rPr>
          <w:rFonts w:ascii="宋体" w:hAnsi="宋体"/>
          <w:snapToGrid w:val="0"/>
          <w:color w:val="auto"/>
          <w:kern w:val="0"/>
          <w:szCs w:val="21"/>
          <w:highlight w:val="none"/>
        </w:rPr>
      </w:pPr>
    </w:p>
    <w:p w14:paraId="2BB0B5D0">
      <w:pPr>
        <w:spacing w:line="360" w:lineRule="auto"/>
        <w:ind w:firstLine="420" w:firstLineChars="200"/>
        <w:rPr>
          <w:rFonts w:ascii="宋体" w:hAnsi="宋体"/>
          <w:color w:val="auto"/>
          <w:szCs w:val="21"/>
          <w:highlight w:val="none"/>
        </w:rPr>
      </w:pPr>
      <w:r>
        <w:rPr>
          <w:rFonts w:ascii="宋体" w:hAnsi="宋体"/>
          <w:snapToGrid w:val="0"/>
          <w:color w:val="auto"/>
          <w:kern w:val="0"/>
          <w:szCs w:val="21"/>
          <w:highlight w:val="none"/>
        </w:rPr>
        <w:t>承包人：</w:t>
      </w:r>
      <w:r>
        <w:rPr>
          <w:rFonts w:ascii="宋体" w:hAnsi="宋体"/>
          <w:snapToGrid w:val="0"/>
          <w:color w:val="auto"/>
          <w:kern w:val="0"/>
          <w:szCs w:val="21"/>
          <w:highlight w:val="none"/>
          <w:u w:val="single"/>
        </w:rPr>
        <w:t xml:space="preserve">                          </w:t>
      </w:r>
      <w:r>
        <w:rPr>
          <w:rFonts w:hint="eastAsia" w:ascii="宋体" w:hAnsi="宋体"/>
          <w:snapToGrid w:val="0"/>
          <w:color w:val="auto"/>
          <w:kern w:val="0"/>
          <w:szCs w:val="21"/>
          <w:highlight w:val="none"/>
          <w:u w:val="single"/>
        </w:rPr>
        <w:t xml:space="preserve">            </w:t>
      </w:r>
      <w:r>
        <w:rPr>
          <w:rFonts w:ascii="宋体" w:hAnsi="宋体"/>
          <w:snapToGrid w:val="0"/>
          <w:color w:val="auto"/>
          <w:kern w:val="0"/>
          <w:szCs w:val="21"/>
          <w:highlight w:val="none"/>
        </w:rPr>
        <w:t>（</w:t>
      </w:r>
      <w:r>
        <w:rPr>
          <w:rFonts w:hint="eastAsia" w:ascii="宋体" w:hAnsi="宋体"/>
          <w:snapToGrid w:val="0"/>
          <w:color w:val="auto"/>
          <w:kern w:val="0"/>
          <w:szCs w:val="21"/>
          <w:highlight w:val="none"/>
        </w:rPr>
        <w:t>盖单位</w:t>
      </w:r>
      <w:r>
        <w:rPr>
          <w:rFonts w:ascii="宋体" w:hAnsi="宋体"/>
          <w:snapToGrid w:val="0"/>
          <w:color w:val="auto"/>
          <w:kern w:val="0"/>
          <w:szCs w:val="21"/>
          <w:highlight w:val="none"/>
        </w:rPr>
        <w:t>公章</w:t>
      </w:r>
      <w:r>
        <w:rPr>
          <w:rFonts w:hint="eastAsia" w:ascii="宋体" w:hAnsi="宋体"/>
          <w:snapToGrid w:val="0"/>
          <w:color w:val="auto"/>
          <w:kern w:val="0"/>
          <w:szCs w:val="21"/>
          <w:highlight w:val="none"/>
        </w:rPr>
        <w:t>或合同专用章</w:t>
      </w:r>
      <w:r>
        <w:rPr>
          <w:rFonts w:ascii="宋体" w:hAnsi="宋体"/>
          <w:snapToGrid w:val="0"/>
          <w:color w:val="auto"/>
          <w:kern w:val="0"/>
          <w:szCs w:val="21"/>
          <w:highlight w:val="none"/>
        </w:rPr>
        <w:t>）</w:t>
      </w:r>
    </w:p>
    <w:p w14:paraId="0ED6F6A5">
      <w:pPr>
        <w:spacing w:line="360" w:lineRule="auto"/>
        <w:ind w:firstLine="420" w:firstLineChars="200"/>
        <w:rPr>
          <w:rFonts w:ascii="宋体" w:hAnsi="宋体"/>
          <w:snapToGrid w:val="0"/>
          <w:color w:val="auto"/>
          <w:kern w:val="0"/>
          <w:szCs w:val="21"/>
          <w:highlight w:val="none"/>
        </w:rPr>
      </w:pPr>
      <w:r>
        <w:rPr>
          <w:rFonts w:ascii="宋体" w:hAnsi="宋体"/>
          <w:snapToGrid w:val="0"/>
          <w:color w:val="auto"/>
          <w:kern w:val="0"/>
          <w:szCs w:val="21"/>
          <w:highlight w:val="none"/>
        </w:rPr>
        <w:t>法定代表人或其委托代理人：</w:t>
      </w:r>
      <w:r>
        <w:rPr>
          <w:rFonts w:ascii="宋体" w:hAnsi="宋体"/>
          <w:snapToGrid w:val="0"/>
          <w:color w:val="auto"/>
          <w:w w:val="200"/>
          <w:kern w:val="0"/>
          <w:szCs w:val="21"/>
          <w:highlight w:val="none"/>
          <w:u w:val="single"/>
        </w:rPr>
        <w:t xml:space="preserve">         </w:t>
      </w:r>
      <w:r>
        <w:rPr>
          <w:rFonts w:hint="eastAsia" w:ascii="宋体" w:hAnsi="宋体"/>
          <w:snapToGrid w:val="0"/>
          <w:color w:val="auto"/>
          <w:w w:val="200"/>
          <w:kern w:val="0"/>
          <w:szCs w:val="21"/>
          <w:highlight w:val="none"/>
          <w:u w:val="single"/>
        </w:rPr>
        <w:t xml:space="preserve"> </w:t>
      </w:r>
      <w:r>
        <w:rPr>
          <w:rFonts w:ascii="宋体" w:hAnsi="宋体"/>
          <w:snapToGrid w:val="0"/>
          <w:color w:val="auto"/>
          <w:kern w:val="0"/>
          <w:szCs w:val="21"/>
          <w:highlight w:val="none"/>
        </w:rPr>
        <w:t>（</w:t>
      </w:r>
      <w:r>
        <w:rPr>
          <w:rFonts w:hint="eastAsia" w:ascii="宋体" w:hAnsi="宋体"/>
          <w:snapToGrid w:val="0"/>
          <w:color w:val="auto"/>
          <w:kern w:val="0"/>
          <w:szCs w:val="21"/>
          <w:highlight w:val="none"/>
        </w:rPr>
        <w:t>签名</w:t>
      </w:r>
      <w:r>
        <w:rPr>
          <w:rFonts w:ascii="宋体" w:hAnsi="宋体"/>
          <w:snapToGrid w:val="0"/>
          <w:color w:val="auto"/>
          <w:kern w:val="0"/>
          <w:szCs w:val="21"/>
          <w:highlight w:val="none"/>
        </w:rPr>
        <w:t>）</w:t>
      </w:r>
    </w:p>
    <w:p w14:paraId="725E4AD7">
      <w:pPr>
        <w:spacing w:line="360" w:lineRule="auto"/>
        <w:ind w:firstLine="420" w:firstLineChars="200"/>
        <w:rPr>
          <w:rFonts w:ascii="宋体" w:hAnsi="宋体"/>
          <w:snapToGrid w:val="0"/>
          <w:color w:val="auto"/>
          <w:kern w:val="0"/>
          <w:szCs w:val="21"/>
          <w:highlight w:val="none"/>
        </w:rPr>
      </w:pPr>
      <w:r>
        <w:rPr>
          <w:rFonts w:hint="eastAsia" w:ascii="宋体" w:hAnsi="宋体"/>
          <w:snapToGrid w:val="0"/>
          <w:color w:val="auto"/>
          <w:kern w:val="0"/>
          <w:szCs w:val="21"/>
          <w:highlight w:val="none"/>
        </w:rPr>
        <w:t>统一社会信用代码：</w:t>
      </w:r>
      <w:r>
        <w:rPr>
          <w:rFonts w:ascii="宋体" w:hAnsi="宋体"/>
          <w:snapToGrid w:val="0"/>
          <w:color w:val="auto"/>
          <w:w w:val="200"/>
          <w:kern w:val="0"/>
          <w:szCs w:val="21"/>
          <w:highlight w:val="none"/>
          <w:u w:val="single"/>
        </w:rPr>
        <w:t xml:space="preserve"> </w:t>
      </w:r>
      <w:r>
        <w:rPr>
          <w:rFonts w:ascii="宋体" w:hAnsi="宋体"/>
          <w:snapToGrid w:val="0"/>
          <w:color w:val="auto"/>
          <w:kern w:val="0"/>
          <w:szCs w:val="21"/>
          <w:highlight w:val="none"/>
          <w:u w:val="single"/>
        </w:rPr>
        <w:t xml:space="preserve">                  </w:t>
      </w:r>
      <w:r>
        <w:rPr>
          <w:rFonts w:hint="eastAsia" w:ascii="宋体" w:hAnsi="宋体"/>
          <w:snapToGrid w:val="0"/>
          <w:color w:val="auto"/>
          <w:kern w:val="0"/>
          <w:szCs w:val="21"/>
          <w:highlight w:val="none"/>
          <w:u w:val="single"/>
        </w:rPr>
        <w:t xml:space="preserve">        </w:t>
      </w:r>
    </w:p>
    <w:p w14:paraId="5D4DD6F1">
      <w:pPr>
        <w:spacing w:line="360" w:lineRule="auto"/>
        <w:ind w:firstLine="420" w:firstLineChars="200"/>
        <w:rPr>
          <w:rFonts w:ascii="宋体" w:hAnsi="宋体"/>
          <w:snapToGrid w:val="0"/>
          <w:color w:val="auto"/>
          <w:kern w:val="0"/>
          <w:szCs w:val="21"/>
          <w:highlight w:val="none"/>
          <w:u w:val="single"/>
        </w:rPr>
      </w:pPr>
      <w:r>
        <w:rPr>
          <w:rFonts w:hint="eastAsia" w:ascii="宋体" w:hAnsi="宋体"/>
          <w:snapToGrid w:val="0"/>
          <w:color w:val="auto"/>
          <w:kern w:val="0"/>
          <w:szCs w:val="21"/>
          <w:highlight w:val="none"/>
        </w:rPr>
        <w:t>纳税人识别号：</w:t>
      </w:r>
      <w:r>
        <w:rPr>
          <w:rFonts w:ascii="宋体" w:hAnsi="宋体"/>
          <w:snapToGrid w:val="0"/>
          <w:color w:val="auto"/>
          <w:w w:val="200"/>
          <w:kern w:val="0"/>
          <w:szCs w:val="21"/>
          <w:highlight w:val="none"/>
          <w:u w:val="single"/>
        </w:rPr>
        <w:t xml:space="preserve"> </w:t>
      </w:r>
      <w:r>
        <w:rPr>
          <w:rFonts w:ascii="宋体" w:hAnsi="宋体"/>
          <w:snapToGrid w:val="0"/>
          <w:color w:val="auto"/>
          <w:kern w:val="0"/>
          <w:szCs w:val="21"/>
          <w:highlight w:val="none"/>
          <w:u w:val="single"/>
        </w:rPr>
        <w:t xml:space="preserve">                  </w:t>
      </w:r>
      <w:r>
        <w:rPr>
          <w:rFonts w:hint="eastAsia" w:ascii="宋体" w:hAnsi="宋体"/>
          <w:snapToGrid w:val="0"/>
          <w:color w:val="auto"/>
          <w:kern w:val="0"/>
          <w:szCs w:val="21"/>
          <w:highlight w:val="none"/>
          <w:u w:val="single"/>
        </w:rPr>
        <w:t xml:space="preserve">            </w:t>
      </w:r>
    </w:p>
    <w:p w14:paraId="7A44EE39">
      <w:pPr>
        <w:spacing w:line="360" w:lineRule="auto"/>
        <w:ind w:firstLine="420" w:firstLineChars="200"/>
        <w:rPr>
          <w:rFonts w:ascii="宋体" w:hAnsi="宋体"/>
          <w:snapToGrid w:val="0"/>
          <w:color w:val="auto"/>
          <w:kern w:val="0"/>
          <w:szCs w:val="21"/>
          <w:highlight w:val="none"/>
          <w:u w:val="single"/>
        </w:rPr>
      </w:pPr>
      <w:r>
        <w:rPr>
          <w:rFonts w:hint="eastAsia" w:ascii="宋体" w:hAnsi="宋体"/>
          <w:snapToGrid w:val="0"/>
          <w:color w:val="auto"/>
          <w:kern w:val="0"/>
          <w:szCs w:val="21"/>
          <w:highlight w:val="none"/>
        </w:rPr>
        <w:t>地    址：</w:t>
      </w:r>
      <w:r>
        <w:rPr>
          <w:rFonts w:ascii="宋体" w:hAnsi="宋体"/>
          <w:snapToGrid w:val="0"/>
          <w:color w:val="auto"/>
          <w:w w:val="200"/>
          <w:kern w:val="0"/>
          <w:szCs w:val="21"/>
          <w:highlight w:val="none"/>
          <w:u w:val="single"/>
        </w:rPr>
        <w:t xml:space="preserve"> </w:t>
      </w:r>
      <w:r>
        <w:rPr>
          <w:rFonts w:ascii="宋体" w:hAnsi="宋体"/>
          <w:snapToGrid w:val="0"/>
          <w:color w:val="auto"/>
          <w:kern w:val="0"/>
          <w:szCs w:val="21"/>
          <w:highlight w:val="none"/>
          <w:u w:val="single"/>
        </w:rPr>
        <w:t xml:space="preserve">                  </w:t>
      </w:r>
      <w:r>
        <w:rPr>
          <w:rFonts w:hint="eastAsia" w:ascii="宋体" w:hAnsi="宋体"/>
          <w:snapToGrid w:val="0"/>
          <w:color w:val="auto"/>
          <w:kern w:val="0"/>
          <w:szCs w:val="21"/>
          <w:highlight w:val="none"/>
          <w:u w:val="single"/>
        </w:rPr>
        <w:t xml:space="preserve">                </w:t>
      </w:r>
    </w:p>
    <w:p w14:paraId="7BACDE31">
      <w:pPr>
        <w:spacing w:line="360" w:lineRule="auto"/>
        <w:ind w:firstLine="420" w:firstLineChars="200"/>
        <w:rPr>
          <w:rFonts w:ascii="宋体" w:hAnsi="宋体"/>
          <w:snapToGrid w:val="0"/>
          <w:color w:val="auto"/>
          <w:kern w:val="0"/>
          <w:szCs w:val="21"/>
          <w:highlight w:val="none"/>
          <w:u w:val="single"/>
        </w:rPr>
      </w:pPr>
      <w:r>
        <w:rPr>
          <w:rFonts w:hint="eastAsia" w:ascii="宋体" w:hAnsi="宋体"/>
          <w:snapToGrid w:val="0"/>
          <w:color w:val="auto"/>
          <w:kern w:val="0"/>
          <w:szCs w:val="21"/>
          <w:highlight w:val="none"/>
        </w:rPr>
        <w:t>电    话：</w:t>
      </w:r>
      <w:r>
        <w:rPr>
          <w:rFonts w:ascii="宋体" w:hAnsi="宋体"/>
          <w:snapToGrid w:val="0"/>
          <w:color w:val="auto"/>
          <w:w w:val="200"/>
          <w:kern w:val="0"/>
          <w:szCs w:val="21"/>
          <w:highlight w:val="none"/>
          <w:u w:val="single"/>
        </w:rPr>
        <w:t xml:space="preserve"> </w:t>
      </w:r>
      <w:r>
        <w:rPr>
          <w:rFonts w:ascii="宋体" w:hAnsi="宋体"/>
          <w:snapToGrid w:val="0"/>
          <w:color w:val="auto"/>
          <w:kern w:val="0"/>
          <w:szCs w:val="21"/>
          <w:highlight w:val="none"/>
          <w:u w:val="single"/>
        </w:rPr>
        <w:t xml:space="preserve">                  </w:t>
      </w:r>
      <w:r>
        <w:rPr>
          <w:rFonts w:hint="eastAsia" w:ascii="宋体" w:hAnsi="宋体"/>
          <w:snapToGrid w:val="0"/>
          <w:color w:val="auto"/>
          <w:kern w:val="0"/>
          <w:szCs w:val="21"/>
          <w:highlight w:val="none"/>
          <w:u w:val="single"/>
        </w:rPr>
        <w:t xml:space="preserve">                </w:t>
      </w:r>
    </w:p>
    <w:p w14:paraId="26EED2FC">
      <w:pPr>
        <w:spacing w:line="360" w:lineRule="auto"/>
        <w:ind w:firstLine="420" w:firstLineChars="200"/>
        <w:rPr>
          <w:rFonts w:ascii="宋体" w:hAnsi="宋体"/>
          <w:snapToGrid w:val="0"/>
          <w:color w:val="auto"/>
          <w:kern w:val="0"/>
          <w:szCs w:val="21"/>
          <w:highlight w:val="none"/>
          <w:u w:val="single"/>
        </w:rPr>
      </w:pPr>
      <w:r>
        <w:rPr>
          <w:rFonts w:hint="eastAsia" w:ascii="宋体" w:hAnsi="宋体"/>
          <w:snapToGrid w:val="0"/>
          <w:color w:val="auto"/>
          <w:kern w:val="0"/>
          <w:szCs w:val="21"/>
          <w:highlight w:val="none"/>
        </w:rPr>
        <w:t>开户银行：</w:t>
      </w:r>
      <w:r>
        <w:rPr>
          <w:rFonts w:ascii="宋体" w:hAnsi="宋体"/>
          <w:snapToGrid w:val="0"/>
          <w:color w:val="auto"/>
          <w:w w:val="200"/>
          <w:kern w:val="0"/>
          <w:szCs w:val="21"/>
          <w:highlight w:val="none"/>
          <w:u w:val="single"/>
        </w:rPr>
        <w:t xml:space="preserve"> </w:t>
      </w:r>
      <w:r>
        <w:rPr>
          <w:rFonts w:ascii="宋体" w:hAnsi="宋体"/>
          <w:snapToGrid w:val="0"/>
          <w:color w:val="auto"/>
          <w:kern w:val="0"/>
          <w:szCs w:val="21"/>
          <w:highlight w:val="none"/>
          <w:u w:val="single"/>
        </w:rPr>
        <w:t xml:space="preserve">                  </w:t>
      </w:r>
      <w:r>
        <w:rPr>
          <w:rFonts w:hint="eastAsia" w:ascii="宋体" w:hAnsi="宋体"/>
          <w:snapToGrid w:val="0"/>
          <w:color w:val="auto"/>
          <w:kern w:val="0"/>
          <w:szCs w:val="21"/>
          <w:highlight w:val="none"/>
          <w:u w:val="single"/>
        </w:rPr>
        <w:t xml:space="preserve">                </w:t>
      </w:r>
    </w:p>
    <w:p w14:paraId="344AD913">
      <w:pPr>
        <w:spacing w:line="360" w:lineRule="auto"/>
        <w:ind w:firstLine="420" w:firstLineChars="200"/>
        <w:rPr>
          <w:rFonts w:ascii="宋体" w:hAnsi="宋体"/>
          <w:snapToGrid w:val="0"/>
          <w:color w:val="auto"/>
          <w:kern w:val="0"/>
          <w:szCs w:val="21"/>
          <w:highlight w:val="none"/>
          <w:u w:val="single"/>
        </w:rPr>
      </w:pPr>
      <w:r>
        <w:rPr>
          <w:rFonts w:hint="eastAsia" w:ascii="宋体" w:hAnsi="宋体"/>
          <w:snapToGrid w:val="0"/>
          <w:color w:val="auto"/>
          <w:kern w:val="0"/>
          <w:szCs w:val="21"/>
          <w:highlight w:val="none"/>
        </w:rPr>
        <w:t>账    号：</w:t>
      </w:r>
      <w:r>
        <w:rPr>
          <w:rFonts w:ascii="宋体" w:hAnsi="宋体"/>
          <w:snapToGrid w:val="0"/>
          <w:color w:val="auto"/>
          <w:w w:val="200"/>
          <w:kern w:val="0"/>
          <w:szCs w:val="21"/>
          <w:highlight w:val="none"/>
          <w:u w:val="single"/>
        </w:rPr>
        <w:t xml:space="preserve"> </w:t>
      </w:r>
      <w:r>
        <w:rPr>
          <w:rFonts w:ascii="宋体" w:hAnsi="宋体"/>
          <w:snapToGrid w:val="0"/>
          <w:color w:val="auto"/>
          <w:kern w:val="0"/>
          <w:szCs w:val="21"/>
          <w:highlight w:val="none"/>
          <w:u w:val="single"/>
        </w:rPr>
        <w:t xml:space="preserve">                  </w:t>
      </w:r>
      <w:r>
        <w:rPr>
          <w:rFonts w:hint="eastAsia" w:ascii="宋体" w:hAnsi="宋体"/>
          <w:snapToGrid w:val="0"/>
          <w:color w:val="auto"/>
          <w:kern w:val="0"/>
          <w:szCs w:val="21"/>
          <w:highlight w:val="none"/>
          <w:u w:val="single"/>
        </w:rPr>
        <w:t xml:space="preserve">                </w:t>
      </w:r>
    </w:p>
    <w:p w14:paraId="5915D831">
      <w:pPr>
        <w:pStyle w:val="2"/>
        <w:spacing w:line="360" w:lineRule="auto"/>
        <w:rPr>
          <w:rFonts w:ascii="宋体" w:hAnsi="宋体"/>
          <w:color w:val="auto"/>
          <w:szCs w:val="21"/>
          <w:highlight w:val="none"/>
        </w:rPr>
      </w:pPr>
    </w:p>
    <w:p w14:paraId="27C75F6B">
      <w:pPr>
        <w:spacing w:line="360" w:lineRule="auto"/>
        <w:jc w:val="right"/>
        <w:rPr>
          <w:rFonts w:ascii="宋体" w:hAnsi="宋体"/>
          <w:snapToGrid w:val="0"/>
          <w:color w:val="auto"/>
          <w:kern w:val="0"/>
          <w:szCs w:val="21"/>
          <w:highlight w:val="none"/>
        </w:rPr>
      </w:pPr>
    </w:p>
    <w:p w14:paraId="0158897A">
      <w:pPr>
        <w:spacing w:line="360" w:lineRule="auto"/>
        <w:jc w:val="right"/>
        <w:rPr>
          <w:rFonts w:ascii="宋体" w:hAnsi="宋体"/>
          <w:snapToGrid w:val="0"/>
          <w:color w:val="auto"/>
          <w:kern w:val="0"/>
          <w:szCs w:val="21"/>
          <w:highlight w:val="none"/>
        </w:rPr>
      </w:pPr>
    </w:p>
    <w:p w14:paraId="390D4C57">
      <w:pPr>
        <w:spacing w:line="360" w:lineRule="auto"/>
        <w:jc w:val="right"/>
        <w:rPr>
          <w:rFonts w:ascii="宋体" w:hAnsi="宋体"/>
          <w:snapToGrid w:val="0"/>
          <w:color w:val="auto"/>
          <w:kern w:val="0"/>
          <w:szCs w:val="21"/>
          <w:highlight w:val="none"/>
        </w:rPr>
      </w:pPr>
      <w:r>
        <w:rPr>
          <w:rFonts w:hint="eastAsia" w:ascii="宋体" w:hAnsi="宋体"/>
          <w:snapToGrid w:val="0"/>
          <w:color w:val="auto"/>
          <w:kern w:val="0"/>
          <w:szCs w:val="21"/>
          <w:highlight w:val="none"/>
        </w:rPr>
        <w:t>签约时间：</w:t>
      </w:r>
      <w:r>
        <w:rPr>
          <w:rFonts w:hint="eastAsia" w:ascii="宋体" w:hAnsi="宋体"/>
          <w:snapToGrid w:val="0"/>
          <w:color w:val="auto"/>
          <w:kern w:val="0"/>
          <w:szCs w:val="21"/>
          <w:highlight w:val="none"/>
          <w:u w:val="single"/>
        </w:rPr>
        <w:t xml:space="preserve">     </w:t>
      </w:r>
      <w:r>
        <w:rPr>
          <w:rFonts w:hint="eastAsia" w:ascii="宋体" w:hAnsi="宋体"/>
          <w:snapToGrid w:val="0"/>
          <w:color w:val="auto"/>
          <w:kern w:val="0"/>
          <w:szCs w:val="21"/>
          <w:highlight w:val="none"/>
        </w:rPr>
        <w:t>年</w:t>
      </w:r>
      <w:r>
        <w:rPr>
          <w:rFonts w:hint="eastAsia" w:ascii="宋体" w:hAnsi="宋体"/>
          <w:snapToGrid w:val="0"/>
          <w:color w:val="auto"/>
          <w:kern w:val="0"/>
          <w:szCs w:val="21"/>
          <w:highlight w:val="none"/>
          <w:u w:val="single"/>
        </w:rPr>
        <w:t xml:space="preserve">     </w:t>
      </w:r>
      <w:r>
        <w:rPr>
          <w:rFonts w:hint="eastAsia" w:ascii="宋体" w:hAnsi="宋体"/>
          <w:snapToGrid w:val="0"/>
          <w:color w:val="auto"/>
          <w:kern w:val="0"/>
          <w:szCs w:val="21"/>
          <w:highlight w:val="none"/>
        </w:rPr>
        <w:t>月</w:t>
      </w:r>
      <w:r>
        <w:rPr>
          <w:rFonts w:hint="eastAsia" w:ascii="宋体" w:hAnsi="宋体"/>
          <w:snapToGrid w:val="0"/>
          <w:color w:val="auto"/>
          <w:kern w:val="0"/>
          <w:szCs w:val="21"/>
          <w:highlight w:val="none"/>
          <w:u w:val="single"/>
        </w:rPr>
        <w:t xml:space="preserve">     </w:t>
      </w:r>
      <w:r>
        <w:rPr>
          <w:rFonts w:hint="eastAsia" w:ascii="宋体" w:hAnsi="宋体"/>
          <w:snapToGrid w:val="0"/>
          <w:color w:val="auto"/>
          <w:kern w:val="0"/>
          <w:szCs w:val="21"/>
          <w:highlight w:val="none"/>
        </w:rPr>
        <w:t>日</w:t>
      </w:r>
      <w:bookmarkEnd w:id="274"/>
    </w:p>
    <w:p w14:paraId="725280AB">
      <w:pPr>
        <w:pStyle w:val="5"/>
        <w:jc w:val="center"/>
        <w:rPr>
          <w:rFonts w:ascii="宋体" w:hAnsi="宋体" w:cs="宋体"/>
          <w:b w:val="0"/>
          <w:color w:val="auto"/>
          <w:sz w:val="32"/>
          <w:highlight w:val="none"/>
        </w:rPr>
      </w:pPr>
      <w:r>
        <w:rPr>
          <w:rFonts w:hint="eastAsia" w:ascii="宋体" w:hAnsi="宋体" w:cs="宋体"/>
          <w:b w:val="0"/>
          <w:color w:val="auto"/>
          <w:sz w:val="32"/>
          <w:highlight w:val="none"/>
        </w:rPr>
        <w:t xml:space="preserve"> </w:t>
      </w:r>
    </w:p>
    <w:p w14:paraId="3EFD7A18">
      <w:pPr>
        <w:spacing w:line="360" w:lineRule="auto"/>
        <w:jc w:val="center"/>
        <w:outlineLvl w:val="1"/>
        <w:rPr>
          <w:rFonts w:ascii="宋体" w:hAnsi="宋体" w:cs="宋体"/>
          <w:b/>
          <w:color w:val="auto"/>
          <w:sz w:val="32"/>
          <w:highlight w:val="none"/>
        </w:rPr>
      </w:pPr>
    </w:p>
    <w:p w14:paraId="68170674">
      <w:pPr>
        <w:spacing w:line="360" w:lineRule="auto"/>
        <w:jc w:val="center"/>
        <w:outlineLvl w:val="1"/>
        <w:rPr>
          <w:rFonts w:ascii="宋体" w:hAnsi="宋体" w:cs="宋体"/>
          <w:b/>
          <w:color w:val="auto"/>
          <w:sz w:val="32"/>
          <w:highlight w:val="none"/>
        </w:rPr>
      </w:pPr>
    </w:p>
    <w:p w14:paraId="5E44D322">
      <w:pPr>
        <w:spacing w:line="360" w:lineRule="auto"/>
        <w:jc w:val="center"/>
        <w:outlineLvl w:val="1"/>
        <w:rPr>
          <w:rFonts w:ascii="宋体" w:hAnsi="宋体" w:cs="宋体"/>
          <w:b/>
          <w:color w:val="auto"/>
          <w:sz w:val="32"/>
          <w:highlight w:val="none"/>
        </w:rPr>
      </w:pPr>
    </w:p>
    <w:p w14:paraId="41ED3C89">
      <w:pPr>
        <w:spacing w:line="360" w:lineRule="auto"/>
        <w:jc w:val="center"/>
        <w:outlineLvl w:val="1"/>
        <w:rPr>
          <w:rFonts w:ascii="宋体" w:hAnsi="宋体" w:cs="宋体"/>
          <w:b/>
          <w:color w:val="auto"/>
          <w:sz w:val="32"/>
          <w:highlight w:val="none"/>
        </w:rPr>
      </w:pPr>
    </w:p>
    <w:p w14:paraId="5943B297">
      <w:pPr>
        <w:spacing w:line="360" w:lineRule="auto"/>
        <w:jc w:val="center"/>
        <w:outlineLvl w:val="1"/>
        <w:rPr>
          <w:rFonts w:ascii="宋体" w:hAnsi="宋体" w:cs="宋体"/>
          <w:b/>
          <w:color w:val="auto"/>
          <w:sz w:val="32"/>
          <w:highlight w:val="none"/>
        </w:rPr>
      </w:pPr>
    </w:p>
    <w:p w14:paraId="61D600A1">
      <w:pPr>
        <w:spacing w:line="360" w:lineRule="auto"/>
        <w:jc w:val="center"/>
        <w:outlineLvl w:val="1"/>
        <w:rPr>
          <w:rFonts w:ascii="宋体" w:hAnsi="宋体" w:cs="宋体"/>
          <w:b/>
          <w:color w:val="auto"/>
          <w:sz w:val="32"/>
          <w:highlight w:val="none"/>
        </w:rPr>
      </w:pPr>
    </w:p>
    <w:p w14:paraId="2985CDC0">
      <w:pPr>
        <w:spacing w:line="360" w:lineRule="auto"/>
        <w:jc w:val="center"/>
        <w:outlineLvl w:val="1"/>
        <w:rPr>
          <w:rFonts w:ascii="宋体" w:hAnsi="宋体" w:cs="宋体"/>
          <w:b/>
          <w:color w:val="auto"/>
          <w:sz w:val="32"/>
          <w:highlight w:val="none"/>
        </w:rPr>
      </w:pPr>
    </w:p>
    <w:p w14:paraId="58CC5D55">
      <w:pPr>
        <w:spacing w:line="360" w:lineRule="auto"/>
        <w:jc w:val="center"/>
        <w:outlineLvl w:val="1"/>
        <w:rPr>
          <w:rFonts w:ascii="宋体" w:hAnsi="宋体" w:cs="宋体"/>
          <w:b/>
          <w:color w:val="auto"/>
          <w:sz w:val="32"/>
          <w:highlight w:val="none"/>
        </w:rPr>
      </w:pPr>
    </w:p>
    <w:p w14:paraId="447DE602">
      <w:pPr>
        <w:pStyle w:val="5"/>
        <w:jc w:val="center"/>
        <w:rPr>
          <w:rFonts w:ascii="宋体" w:hAnsi="宋体"/>
          <w:bCs/>
          <w:color w:val="auto"/>
          <w:sz w:val="21"/>
          <w:szCs w:val="21"/>
          <w:highlight w:val="none"/>
        </w:rPr>
      </w:pPr>
      <w:bookmarkStart w:id="275" w:name="_Toc2118"/>
      <w:bookmarkStart w:id="276" w:name="_Toc351203632"/>
      <w:r>
        <w:rPr>
          <w:rFonts w:ascii="宋体" w:hAnsi="宋体" w:eastAsia="宋体" w:cs="宋体"/>
          <w:color w:val="auto"/>
          <w:sz w:val="44"/>
          <w:szCs w:val="44"/>
          <w:highlight w:val="none"/>
        </w:rPr>
        <w:br w:type="page"/>
      </w:r>
      <w:bookmarkStart w:id="277" w:name="_Toc532375586"/>
      <w:bookmarkStart w:id="278" w:name="_Toc57820638"/>
      <w:bookmarkStart w:id="279" w:name="_Toc532377179"/>
      <w:bookmarkStart w:id="280" w:name="_Toc529388289"/>
      <w:r>
        <w:rPr>
          <w:rFonts w:hint="eastAsia" w:ascii="宋体" w:hAnsi="宋体"/>
          <w:color w:val="auto"/>
          <w:sz w:val="44"/>
          <w:szCs w:val="44"/>
          <w:highlight w:val="none"/>
        </w:rPr>
        <w:t>第二部分 通用合同条款</w:t>
      </w:r>
      <w:bookmarkEnd w:id="277"/>
      <w:bookmarkEnd w:id="278"/>
      <w:bookmarkEnd w:id="279"/>
      <w:bookmarkEnd w:id="280"/>
    </w:p>
    <w:p w14:paraId="243CA3F4">
      <w:pPr>
        <w:pStyle w:val="6"/>
        <w:keepNext/>
        <w:keepLines/>
        <w:spacing w:before="120" w:beforeLines="50" w:after="120" w:afterLines="50" w:line="360" w:lineRule="auto"/>
        <w:jc w:val="both"/>
        <w:rPr>
          <w:color w:val="auto"/>
          <w:szCs w:val="21"/>
          <w:highlight w:val="none"/>
        </w:rPr>
      </w:pPr>
      <w:bookmarkStart w:id="281" w:name="_Toc532375587"/>
      <w:bookmarkStart w:id="282" w:name="_Toc351203495"/>
      <w:bookmarkStart w:id="283" w:name="_Toc532377180"/>
      <w:r>
        <w:rPr>
          <w:rFonts w:hint="eastAsia"/>
          <w:color w:val="auto"/>
          <w:szCs w:val="21"/>
          <w:highlight w:val="none"/>
        </w:rPr>
        <w:t>1.</w:t>
      </w:r>
      <w:bookmarkStart w:id="284" w:name="_Toc303538974"/>
      <w:bookmarkEnd w:id="284"/>
      <w:bookmarkStart w:id="285" w:name="_Toc303538975"/>
      <w:bookmarkEnd w:id="285"/>
      <w:bookmarkStart w:id="286" w:name="_Toc303538973"/>
      <w:bookmarkEnd w:id="286"/>
      <w:bookmarkStart w:id="287" w:name="_Toc303538972"/>
      <w:bookmarkEnd w:id="287"/>
      <w:bookmarkStart w:id="288" w:name="_Toc303538976"/>
      <w:bookmarkEnd w:id="288"/>
      <w:bookmarkStart w:id="289" w:name="_Toc296503027"/>
      <w:bookmarkStart w:id="290" w:name="_Toc296346528"/>
      <w:r>
        <w:rPr>
          <w:rFonts w:hint="eastAsia"/>
          <w:color w:val="auto"/>
          <w:szCs w:val="21"/>
          <w:highlight w:val="none"/>
        </w:rPr>
        <w:t>一般约定</w:t>
      </w:r>
      <w:bookmarkEnd w:id="281"/>
      <w:bookmarkEnd w:id="282"/>
      <w:bookmarkEnd w:id="283"/>
      <w:bookmarkEnd w:id="289"/>
      <w:bookmarkEnd w:id="290"/>
    </w:p>
    <w:p w14:paraId="41E9EE17">
      <w:pPr>
        <w:pStyle w:val="7"/>
        <w:spacing w:before="0" w:beforeAutospacing="0" w:after="0" w:afterAutospacing="0" w:line="360" w:lineRule="auto"/>
        <w:ind w:firstLine="422" w:firstLineChars="200"/>
        <w:rPr>
          <w:color w:val="auto"/>
          <w:sz w:val="21"/>
          <w:szCs w:val="21"/>
          <w:highlight w:val="none"/>
        </w:rPr>
      </w:pPr>
      <w:bookmarkStart w:id="291" w:name="_Toc296346529"/>
      <w:bookmarkStart w:id="292" w:name="_Toc337558728"/>
      <w:bookmarkStart w:id="293" w:name="_Toc296503028"/>
      <w:bookmarkStart w:id="294" w:name="_Toc532377181"/>
      <w:bookmarkStart w:id="295" w:name="_Toc351203496"/>
      <w:r>
        <w:rPr>
          <w:rFonts w:hint="eastAsia"/>
          <w:color w:val="auto"/>
          <w:sz w:val="21"/>
          <w:szCs w:val="21"/>
          <w:highlight w:val="none"/>
        </w:rPr>
        <w:t>1.1词语定义</w:t>
      </w:r>
      <w:bookmarkEnd w:id="291"/>
      <w:bookmarkEnd w:id="292"/>
      <w:bookmarkEnd w:id="293"/>
      <w:r>
        <w:rPr>
          <w:rFonts w:hint="eastAsia"/>
          <w:color w:val="auto"/>
          <w:sz w:val="21"/>
          <w:szCs w:val="21"/>
          <w:highlight w:val="none"/>
        </w:rPr>
        <w:t>与解释</w:t>
      </w:r>
      <w:bookmarkEnd w:id="294"/>
      <w:bookmarkEnd w:id="295"/>
    </w:p>
    <w:p w14:paraId="72636814">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合同协议书、通用合同条款、专用合同条款中的下列词语具有本款所赋予的含义：</w:t>
      </w:r>
    </w:p>
    <w:p w14:paraId="03E17048">
      <w:pPr>
        <w:pStyle w:val="7"/>
        <w:spacing w:before="0" w:beforeAutospacing="0" w:after="0" w:afterAutospacing="0" w:line="360" w:lineRule="auto"/>
        <w:ind w:firstLine="420" w:firstLineChars="200"/>
        <w:rPr>
          <w:b w:val="0"/>
          <w:bCs w:val="0"/>
          <w:color w:val="auto"/>
          <w:sz w:val="21"/>
          <w:szCs w:val="21"/>
          <w:highlight w:val="none"/>
        </w:rPr>
      </w:pPr>
      <w:bookmarkStart w:id="296" w:name="_Toc532377182"/>
      <w:r>
        <w:rPr>
          <w:rFonts w:hint="eastAsia"/>
          <w:b w:val="0"/>
          <w:bCs w:val="0"/>
          <w:color w:val="auto"/>
          <w:sz w:val="21"/>
          <w:szCs w:val="21"/>
          <w:highlight w:val="none"/>
        </w:rPr>
        <w:t>1.1.1 合同</w:t>
      </w:r>
      <w:bookmarkEnd w:id="296"/>
    </w:p>
    <w:p w14:paraId="5849FDBF">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1.1.1.1 合同：是指根据法律规定和合同当事人约定具有约束力的文件，构成合同的文件包括合同协议书、中标通知书（如有）、投标函及其附录（如有）、专用合同条款</w:t>
      </w:r>
      <w:r>
        <w:rPr>
          <w:rFonts w:hint="eastAsia" w:ascii="宋体" w:hAnsi="宋体"/>
          <w:color w:val="auto"/>
          <w:szCs w:val="21"/>
          <w:highlight w:val="none"/>
        </w:rPr>
        <w:t>及其附件</w:t>
      </w:r>
      <w:r>
        <w:rPr>
          <w:rFonts w:hint="eastAsia" w:ascii="宋体" w:hAnsi="宋体"/>
          <w:color w:val="auto"/>
          <w:kern w:val="0"/>
          <w:szCs w:val="21"/>
          <w:highlight w:val="none"/>
        </w:rPr>
        <w:t>、通用合同条款、技术标准和要求、图纸、已标价工程量清单或预算书以及其他合同文件。</w:t>
      </w:r>
    </w:p>
    <w:p w14:paraId="1BE73746">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1.1.1.2 合同协议书：是指构成合同的由发包人和承包人共同签署的称为“合同协议书”的书面文件。</w:t>
      </w:r>
    </w:p>
    <w:p w14:paraId="0E49A069">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1.1.1.3 中标通知书：是指构成合同的由发包人通知承包人中标的书面文件。</w:t>
      </w:r>
    </w:p>
    <w:p w14:paraId="1242E7C2">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1.1.1.4 投标函：是指构成合同的由承包人填写并签署的用于投标的称为“投标函”的文件。</w:t>
      </w:r>
    </w:p>
    <w:p w14:paraId="19B7378D">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1.1.1.5 投标函附录：是指构成合同的附在投标函后的称为“投标函附录”的文件。</w:t>
      </w:r>
    </w:p>
    <w:p w14:paraId="14BFACF9">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1.1.1.6 技术标准和要求：是指构成合同的施工应当遵守的或指导施工的国家、行业或地方的技术标准和要求，以及合同约定的技术标准和要求。</w:t>
      </w:r>
    </w:p>
    <w:p w14:paraId="6905F9CF">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1.1.1.7 图纸：是指构成合同的图纸，包括由发包人按照合同约定提供或经发包人批准的设计文件、施工图、鸟瞰图及模型等，以及在合同履行过程中形成的图纸文件。图纸应当按照法律规定审查合格。</w:t>
      </w:r>
    </w:p>
    <w:p w14:paraId="29221EEA">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1.1.1.8 已标价工程量清单：是指构成合同的由承包人按照规定的格式和要求填写并标明价格的工程量清单，包括说明和表格。</w:t>
      </w:r>
    </w:p>
    <w:p w14:paraId="484E8219">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1.1.1.9 预算书：是指构成合同的由承包人按照发包人规定的格式和要求编制的工程预算文件。</w:t>
      </w:r>
    </w:p>
    <w:p w14:paraId="3FAB6DD8">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1.1.1.10 其他合同文件：是指经合同当事人约定的与工程施工有关的具有合同约束力的文件或书面协议。合同当事人可以在专用合同条款中进行约定。</w:t>
      </w:r>
    </w:p>
    <w:p w14:paraId="0809E195">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1.1.2 合同当事人及其他相关方</w:t>
      </w:r>
    </w:p>
    <w:p w14:paraId="4CE6A55B">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1.1.2.1 合同当事人：是指发包人和（或）承包人。</w:t>
      </w:r>
    </w:p>
    <w:p w14:paraId="6E067DDF">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1.1.2.2 发包人：是指与承包人签订合同协议书的当事人及取得该当事人资格的合法继承人。</w:t>
      </w:r>
    </w:p>
    <w:p w14:paraId="48147504">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1.1.2.3 承包人：是指与发包人签订合同协议书的，具有相应工程施工承包资质的当事人及取得该当事人资格的合法继承人。</w:t>
      </w:r>
    </w:p>
    <w:p w14:paraId="0D043587">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1.1.2.4 监理人：是指在专用合同条款中指明的，受发包人委托按照法律规定进行工程监督管理的法人或其他组织。</w:t>
      </w:r>
    </w:p>
    <w:p w14:paraId="4CF87ADD">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1.1.2.5 设计人：是指在专用合同条款中指明的，受发包人委托负责工程设计并具备相应工程设计资质的法人或其他组织。</w:t>
      </w:r>
    </w:p>
    <w:p w14:paraId="5AADEF17">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1.1.2.6 分包人：</w:t>
      </w:r>
      <w:bookmarkStart w:id="297" w:name="#go5"/>
      <w:bookmarkEnd w:id="297"/>
      <w:r>
        <w:rPr>
          <w:rFonts w:hint="eastAsia" w:ascii="宋体" w:hAnsi="宋体"/>
          <w:color w:val="auto"/>
          <w:kern w:val="0"/>
          <w:szCs w:val="21"/>
          <w:highlight w:val="none"/>
        </w:rPr>
        <w:t>是指按照法律规定和合同约定，分包部分工程或工作，并与承包人签订分包合同的具有相应资质的法人。</w:t>
      </w:r>
    </w:p>
    <w:p w14:paraId="6B30D792">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1.1.2.7 发包人代表：是指由发包人任命并派驻施工现场在发包人授权范围内行使发包人权利的人。</w:t>
      </w:r>
    </w:p>
    <w:p w14:paraId="6A204BC5">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1.1.2.8 项目经理：是指由承包人任命并派驻施工现场，在承包人授权范围内负责合同履行，且按照法律规定具有相应资格的项目负责人。</w:t>
      </w:r>
    </w:p>
    <w:p w14:paraId="0CE7EC09">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1.1.2.9 总监理工程师：是指由监理人任命并派驻施工现场进行工程监理的总负责人。</w:t>
      </w:r>
    </w:p>
    <w:p w14:paraId="1B24A930">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1.1.3 工程和设备</w:t>
      </w:r>
    </w:p>
    <w:p w14:paraId="139FC526">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1.1.3.1 工程：是指与合同协议书中工程承包范围对应的永久工程和（或）临时工程。</w:t>
      </w:r>
    </w:p>
    <w:p w14:paraId="7831E4C7">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1.1.3.2 永久工程：是指按合同约定建造并移交给发包人的工程，包括工程设备。</w:t>
      </w:r>
    </w:p>
    <w:p w14:paraId="47EDA1D5">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1.1.3.3 临时工程：是指为完成合同约定的永久工程所修建的各类临时性工程，不包括施工设备。</w:t>
      </w:r>
    </w:p>
    <w:p w14:paraId="2F8C2C89">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1.1.3.4 单位工程：是指在合同协议书中指明的，具备独立施工条件并能形成独立使用功能的永久工程。</w:t>
      </w:r>
    </w:p>
    <w:p w14:paraId="5657FBAB">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1.1.3.5 工程设备：是指构成永久工程的机电设备、金属结构设备、仪器及其他类似的设备和装置。</w:t>
      </w:r>
    </w:p>
    <w:p w14:paraId="1B66685E">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1.1.3.6 施工设备：是指为完成合同约定的各项工作所需的设备、器具和其他物品，但不包括工程设备、临时工程和材料。</w:t>
      </w:r>
    </w:p>
    <w:p w14:paraId="2FD833B6">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1.1.3.7 施工现场：是指用于工程施工的场所，以及在专用合同条款中指明作为施工场所组成部分的其他场所，包括永久占地和临时占地。</w:t>
      </w:r>
    </w:p>
    <w:p w14:paraId="3E499C79">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1.1.3.8临时设施：是指为完成合同约定的各项工作所服务的临时性生产和生活设施。</w:t>
      </w:r>
    </w:p>
    <w:p w14:paraId="54DD4292">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1.1.3.9 永久占地：是指专用合同条款中指明为实施工程需永久占用的土地。</w:t>
      </w:r>
    </w:p>
    <w:p w14:paraId="1AF4072E">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1.1.3.10 临时占地：是指专用合同条款中指明为实施工程需要临时占用的土地。</w:t>
      </w:r>
    </w:p>
    <w:p w14:paraId="3B79BDE1">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1.1.4 日期和期限</w:t>
      </w:r>
    </w:p>
    <w:p w14:paraId="5C6490C1">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1.1.4.1 开工日期：包括计划开工日期和实际开工日期。计划开工日期是指合同协议书约定的开工日期；实际开工日期是指监理人按照第7.3.2项〔开工通知〕约定发出的符合法律规定的开工通知中载明的开工日期。</w:t>
      </w:r>
    </w:p>
    <w:p w14:paraId="69A9364D">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 xml:space="preserve">1.1.4.2 竣工日期：包括计划竣工日期和实际竣工日期。计划竣工日期是指合同协议书约定的竣工日期；实际竣工日期按照第13.2.3项〔竣工日期〕的约定确定。 </w:t>
      </w:r>
    </w:p>
    <w:p w14:paraId="1A9319C9">
      <w:pPr>
        <w:spacing w:line="360" w:lineRule="auto"/>
        <w:ind w:firstLine="420" w:firstLineChars="200"/>
        <w:jc w:val="left"/>
        <w:rPr>
          <w:rFonts w:ascii="宋体" w:hAnsi="宋体"/>
          <w:color w:val="auto"/>
          <w:szCs w:val="21"/>
          <w:highlight w:val="none"/>
        </w:rPr>
      </w:pPr>
      <w:r>
        <w:rPr>
          <w:rFonts w:hint="eastAsia" w:ascii="宋体" w:hAnsi="宋体"/>
          <w:color w:val="auto"/>
          <w:kern w:val="0"/>
          <w:szCs w:val="21"/>
          <w:highlight w:val="none"/>
        </w:rPr>
        <w:t>1.1.4.3 工期：是指在合同协议书约定的承包人完成工程所需的期限，包括按照合同约定所作的期限变更。</w:t>
      </w:r>
    </w:p>
    <w:p w14:paraId="75BD5FDA">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1.1.4.4 缺陷责任期：是指承包人按照合同约定承担缺陷修复义务，且发包人预留质量保证金（已缴纳履约保证金的除外）的期限，自工程实际竣工日期起计算。</w:t>
      </w:r>
    </w:p>
    <w:p w14:paraId="7EE2B091">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1.1.4.5 保修期：是指承包人按照合同约定对工程承担保修责任的期限，从工程竣工验收合格之日起计算。</w:t>
      </w:r>
    </w:p>
    <w:p w14:paraId="2808820A">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1.1.4.6 基准日期：招标发包的工程以投标截止日前28天的日期为基准日期，直接发包的工程以合同签订日前28天的日期为基准日期。</w:t>
      </w:r>
    </w:p>
    <w:p w14:paraId="75AE3575">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1.1.4.7 天：除特别指明外，均指日历天。合同中按天计算时间的，开始当天不计入，从次日开始计算，期限最后一天的截止时间为当天24：00时。</w:t>
      </w:r>
    </w:p>
    <w:p w14:paraId="1C2CA718">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1.1.5 合同价格和费用</w:t>
      </w:r>
    </w:p>
    <w:p w14:paraId="21141AE5">
      <w:pPr>
        <w:spacing w:line="360" w:lineRule="auto"/>
        <w:ind w:firstLine="420" w:firstLineChars="200"/>
        <w:jc w:val="left"/>
        <w:rPr>
          <w:rFonts w:ascii="宋体" w:hAnsi="宋体"/>
          <w:color w:val="auto"/>
          <w:szCs w:val="21"/>
          <w:highlight w:val="none"/>
        </w:rPr>
      </w:pPr>
      <w:r>
        <w:rPr>
          <w:rFonts w:hint="eastAsia" w:ascii="宋体" w:hAnsi="宋体"/>
          <w:color w:val="auto"/>
          <w:kern w:val="0"/>
          <w:szCs w:val="21"/>
          <w:highlight w:val="none"/>
        </w:rPr>
        <w:t>1.1.5.1 签约合同价：是指</w:t>
      </w:r>
      <w:r>
        <w:rPr>
          <w:rFonts w:hint="eastAsia" w:ascii="宋体" w:hAnsi="宋体"/>
          <w:color w:val="auto"/>
          <w:szCs w:val="21"/>
          <w:highlight w:val="none"/>
        </w:rPr>
        <w:t>发包人和承包人在合同协议书中确定的总金额，包括安全文明施工费、暂估价及暂列金额等。</w:t>
      </w:r>
    </w:p>
    <w:p w14:paraId="0987E147">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1.1.5.2 合同价格：是指发包人用于支付承包人按照合同约定完成承包范围内全部工作的金额，包括合同履行过程中按合同约定发生的价格变化。</w:t>
      </w:r>
    </w:p>
    <w:p w14:paraId="6911F96B">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1.1.5.3 费用：是指为履行合同所发生的或将要发生的所有必需的开支，包括管理费和应分摊的其他费用，但不包括利润。</w:t>
      </w:r>
    </w:p>
    <w:p w14:paraId="07F15FD7">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1.1.5.4 暂估价：是指发包人在工程量清单或预算书中提供的用于支付必然发生但暂时不能确定价格的材料、工程设备的单价、专业工程以及服务工作的金额。</w:t>
      </w:r>
    </w:p>
    <w:p w14:paraId="4E037C40">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1.1.5.5 暂列金额：是指发包人在工程量清单或预算书中暂定并包括在合同价格中的一笔款项，用于工程合同签订时尚未确定或者不可预见的所需材料、工程设备、服务的采购，施工中可能发生的工程变更、合同约定调整因素出现时的合同价格调整以及发生的索赔、现场签证确认等的费用。</w:t>
      </w:r>
    </w:p>
    <w:p w14:paraId="0F2D8DCC">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1.1.5.6 计日工：是指合同履行过程中，承包人完成发包人提出的零星工作或需要采用计日工计价的变更工作时，按合同中约定的单价计价的一种方式。</w:t>
      </w:r>
    </w:p>
    <w:p w14:paraId="6FC76C53">
      <w:pPr>
        <w:spacing w:line="360" w:lineRule="auto"/>
        <w:ind w:firstLine="420" w:firstLineChars="200"/>
        <w:jc w:val="left"/>
        <w:rPr>
          <w:rFonts w:ascii="宋体" w:hAnsi="宋体"/>
          <w:color w:val="auto"/>
          <w:szCs w:val="21"/>
          <w:highlight w:val="none"/>
        </w:rPr>
      </w:pPr>
      <w:r>
        <w:rPr>
          <w:rFonts w:hint="eastAsia" w:ascii="宋体" w:hAnsi="宋体"/>
          <w:color w:val="auto"/>
          <w:kern w:val="0"/>
          <w:szCs w:val="21"/>
          <w:highlight w:val="none"/>
        </w:rPr>
        <w:t>1.1.5.7 质量保证金</w:t>
      </w:r>
      <w:bookmarkStart w:id="298" w:name="#go2"/>
      <w:bookmarkEnd w:id="298"/>
      <w:r>
        <w:rPr>
          <w:rFonts w:hint="eastAsia" w:ascii="宋体" w:hAnsi="宋体"/>
          <w:color w:val="auto"/>
          <w:kern w:val="0"/>
          <w:szCs w:val="21"/>
          <w:highlight w:val="none"/>
        </w:rPr>
        <w:t>：是指按照第15.3款〔质量保证金〕约定承包人用于保证其在缺陷责任期内履行缺陷修补义务的担保</w:t>
      </w:r>
      <w:r>
        <w:rPr>
          <w:rFonts w:hint="eastAsia" w:ascii="宋体" w:hAnsi="宋体"/>
          <w:color w:val="auto"/>
          <w:szCs w:val="21"/>
          <w:highlight w:val="none"/>
        </w:rPr>
        <w:t>。</w:t>
      </w:r>
    </w:p>
    <w:p w14:paraId="2545E2FD">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1.1.5.8 总价项目：是指在现行国家、行业以及地方的计量规则中无工程量计算规则，在已标价工程量清单或预算书中以总价或以费率形式计算的项目。</w:t>
      </w:r>
    </w:p>
    <w:p w14:paraId="631BDA32">
      <w:pPr>
        <w:spacing w:line="360" w:lineRule="auto"/>
        <w:ind w:firstLine="420" w:firstLineChars="200"/>
        <w:jc w:val="left"/>
        <w:rPr>
          <w:rFonts w:ascii="宋体" w:hAnsi="宋体"/>
          <w:color w:val="auto"/>
          <w:szCs w:val="21"/>
          <w:highlight w:val="none"/>
        </w:rPr>
      </w:pPr>
      <w:r>
        <w:rPr>
          <w:rFonts w:hint="eastAsia" w:ascii="宋体" w:hAnsi="宋体"/>
          <w:color w:val="auto"/>
          <w:szCs w:val="21"/>
          <w:highlight w:val="none"/>
        </w:rPr>
        <w:t>1.1.6 其他</w:t>
      </w:r>
    </w:p>
    <w:p w14:paraId="5E310810">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1.1.6.1 书面形式：是指合同文件、信函、电报、传真等可以有形地表现所载内容的形式。</w:t>
      </w:r>
    </w:p>
    <w:p w14:paraId="06BD1560">
      <w:pPr>
        <w:pStyle w:val="7"/>
        <w:spacing w:before="0" w:beforeAutospacing="0" w:after="0" w:afterAutospacing="0" w:line="360" w:lineRule="auto"/>
        <w:ind w:firstLine="422" w:firstLineChars="200"/>
        <w:rPr>
          <w:color w:val="auto"/>
          <w:sz w:val="21"/>
          <w:szCs w:val="21"/>
          <w:highlight w:val="none"/>
        </w:rPr>
      </w:pPr>
      <w:bookmarkStart w:id="299" w:name="_Toc532377183"/>
      <w:r>
        <w:rPr>
          <w:rFonts w:hint="eastAsia"/>
          <w:color w:val="auto"/>
          <w:sz w:val="21"/>
          <w:szCs w:val="21"/>
          <w:highlight w:val="none"/>
        </w:rPr>
        <w:t>1.2 语言文字</w:t>
      </w:r>
      <w:bookmarkEnd w:id="299"/>
    </w:p>
    <w:p w14:paraId="2EA92964">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合同以中国的汉语简体文字编写、解释和说明。合同当事人在专用合同条款中约定使用两种以上语言时，汉语为优先解释和说明合同的语言。</w:t>
      </w:r>
    </w:p>
    <w:p w14:paraId="74A32B89">
      <w:pPr>
        <w:pStyle w:val="7"/>
        <w:spacing w:before="0" w:beforeAutospacing="0" w:after="0" w:afterAutospacing="0" w:line="360" w:lineRule="auto"/>
        <w:ind w:firstLine="422" w:firstLineChars="200"/>
        <w:rPr>
          <w:color w:val="auto"/>
          <w:sz w:val="21"/>
          <w:szCs w:val="21"/>
          <w:highlight w:val="none"/>
        </w:rPr>
      </w:pPr>
      <w:bookmarkStart w:id="300" w:name="_Toc296503030"/>
      <w:bookmarkStart w:id="301" w:name="_Toc351203498"/>
      <w:bookmarkStart w:id="302" w:name="_Toc337558730"/>
      <w:bookmarkStart w:id="303" w:name="_Toc296346531"/>
      <w:bookmarkStart w:id="304" w:name="_Toc532377184"/>
      <w:r>
        <w:rPr>
          <w:rFonts w:hint="eastAsia"/>
          <w:color w:val="auto"/>
          <w:sz w:val="21"/>
          <w:szCs w:val="21"/>
          <w:highlight w:val="none"/>
        </w:rPr>
        <w:t>1.3法律</w:t>
      </w:r>
      <w:bookmarkEnd w:id="300"/>
      <w:bookmarkEnd w:id="301"/>
      <w:bookmarkEnd w:id="302"/>
      <w:bookmarkEnd w:id="303"/>
      <w:bookmarkEnd w:id="304"/>
    </w:p>
    <w:p w14:paraId="1B631929">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合同所称法律是指中华人民共和国法律、行政法规、部门规章，以及工程所在地的地方性法规、自治条例、单行条例和地方政府规章等。</w:t>
      </w:r>
    </w:p>
    <w:p w14:paraId="33CD877B">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合同当事人可以在专用合同条款中约定合同适用的其他规范性文件。</w:t>
      </w:r>
    </w:p>
    <w:p w14:paraId="23EEAC94">
      <w:pPr>
        <w:pStyle w:val="7"/>
        <w:spacing w:before="0" w:beforeAutospacing="0" w:after="0" w:afterAutospacing="0" w:line="360" w:lineRule="auto"/>
        <w:ind w:firstLine="422" w:firstLineChars="200"/>
        <w:rPr>
          <w:color w:val="auto"/>
          <w:sz w:val="21"/>
          <w:szCs w:val="21"/>
          <w:highlight w:val="none"/>
        </w:rPr>
      </w:pPr>
      <w:bookmarkStart w:id="305" w:name="_Toc532377185"/>
      <w:bookmarkStart w:id="306" w:name="_Toc351203499"/>
      <w:r>
        <w:rPr>
          <w:rFonts w:hint="eastAsia"/>
          <w:color w:val="auto"/>
          <w:sz w:val="21"/>
          <w:szCs w:val="21"/>
          <w:highlight w:val="none"/>
        </w:rPr>
        <w:t>1.4 标准和规范</w:t>
      </w:r>
      <w:bookmarkEnd w:id="305"/>
      <w:bookmarkEnd w:id="306"/>
    </w:p>
    <w:p w14:paraId="1D9A1133">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1.4.1 适用于工程的国家标准、行业标准、工程所在地的地方性标准，以及相应的规范、规程等，合同当事人有特别要求的，应在专用合同条款中约定。</w:t>
      </w:r>
    </w:p>
    <w:p w14:paraId="2A703995">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1.4.2 发包人要求使用国外标准、规范的，发包人负责提供原文版本和中文译本，并在专用合同条款中约定提供标准规范的名称、份数和时间。</w:t>
      </w:r>
    </w:p>
    <w:p w14:paraId="5E712A0E">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1.4.3 发包人对工程的技术标准、功能要求高于或严于现行国家、行业或地方标准的，应当在专用合同条款中予以明确。除专用合同条款另有约定外，应视为承包人在签订合同前已充分预见前述技术标准和功能要求的复杂程度，签约合同价中已包含由此产生的费用。</w:t>
      </w:r>
    </w:p>
    <w:p w14:paraId="7F439742">
      <w:pPr>
        <w:pStyle w:val="7"/>
        <w:spacing w:before="0" w:beforeAutospacing="0" w:after="0" w:afterAutospacing="0" w:line="360" w:lineRule="auto"/>
        <w:ind w:firstLine="422" w:firstLineChars="200"/>
        <w:rPr>
          <w:color w:val="auto"/>
          <w:sz w:val="21"/>
          <w:szCs w:val="21"/>
          <w:highlight w:val="none"/>
        </w:rPr>
      </w:pPr>
      <w:bookmarkStart w:id="307" w:name="_Toc532377186"/>
      <w:bookmarkStart w:id="308" w:name="_Toc351203500"/>
      <w:r>
        <w:rPr>
          <w:rFonts w:hint="eastAsia"/>
          <w:color w:val="auto"/>
          <w:sz w:val="21"/>
          <w:szCs w:val="21"/>
          <w:highlight w:val="none"/>
        </w:rPr>
        <w:t>1</w:t>
      </w:r>
      <w:bookmarkStart w:id="309" w:name="_Toc296503031"/>
      <w:bookmarkStart w:id="310" w:name="_Toc296346532"/>
      <w:bookmarkStart w:id="311" w:name="_Toc337558731"/>
      <w:r>
        <w:rPr>
          <w:rFonts w:hint="eastAsia"/>
          <w:color w:val="auto"/>
          <w:sz w:val="21"/>
          <w:szCs w:val="21"/>
          <w:highlight w:val="none"/>
        </w:rPr>
        <w:t>.5 合同文件的优先顺序</w:t>
      </w:r>
      <w:bookmarkEnd w:id="307"/>
      <w:bookmarkEnd w:id="308"/>
    </w:p>
    <w:bookmarkEnd w:id="309"/>
    <w:bookmarkEnd w:id="310"/>
    <w:bookmarkEnd w:id="311"/>
    <w:p w14:paraId="0BAB80BD">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组成合同的各项文件应互相解释，互为说明。除专用合同条款另有约定外，解释合同文件的优先顺序如下：</w:t>
      </w:r>
    </w:p>
    <w:p w14:paraId="3ADB0895">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（1）合同协议书；</w:t>
      </w:r>
    </w:p>
    <w:p w14:paraId="59DEABE7">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（2）中标通知书（如有）；</w:t>
      </w:r>
    </w:p>
    <w:p w14:paraId="6EF10738">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（3）投标函及其附录（如有）；</w:t>
      </w:r>
    </w:p>
    <w:p w14:paraId="56F6E33E">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（4）专用合同条款及其附件；</w:t>
      </w:r>
    </w:p>
    <w:p w14:paraId="1F9FF9AF">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（5）通用合同条款；</w:t>
      </w:r>
    </w:p>
    <w:p w14:paraId="035D0A0F">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（6）技术标准和要求；</w:t>
      </w:r>
    </w:p>
    <w:p w14:paraId="040172C9">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（7）图纸；</w:t>
      </w:r>
    </w:p>
    <w:p w14:paraId="53DD471A">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（8）已标价工程量清单或预算书；</w:t>
      </w:r>
    </w:p>
    <w:p w14:paraId="73062363">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（9）其他合同文件。</w:t>
      </w:r>
    </w:p>
    <w:p w14:paraId="7CA73A91">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上述各项合同文件包括合同当事人就该项合同文件所作出的补充和修改，属于同一类内容的文件，应以最新签署的为准。</w:t>
      </w:r>
    </w:p>
    <w:p w14:paraId="2F4368E5">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在合同订立及履行过程中形成的与合同有关的文件均构成合同文件组成部分，并根据其性质确定优先解释顺序。</w:t>
      </w:r>
    </w:p>
    <w:p w14:paraId="394F80ED">
      <w:pPr>
        <w:pStyle w:val="7"/>
        <w:spacing w:before="0" w:beforeAutospacing="0" w:after="0" w:afterAutospacing="0" w:line="360" w:lineRule="auto"/>
        <w:ind w:firstLine="422" w:firstLineChars="200"/>
        <w:rPr>
          <w:color w:val="auto"/>
          <w:sz w:val="21"/>
          <w:szCs w:val="21"/>
          <w:highlight w:val="none"/>
        </w:rPr>
      </w:pPr>
      <w:bookmarkStart w:id="312" w:name="_Toc351203501"/>
      <w:bookmarkStart w:id="313" w:name="_Toc532377187"/>
      <w:r>
        <w:rPr>
          <w:rFonts w:hint="eastAsia"/>
          <w:color w:val="auto"/>
          <w:sz w:val="21"/>
          <w:szCs w:val="21"/>
          <w:highlight w:val="none"/>
        </w:rPr>
        <w:t>1</w:t>
      </w:r>
      <w:bookmarkStart w:id="314" w:name="_Toc296503032"/>
      <w:bookmarkStart w:id="315" w:name="_Toc337558732"/>
      <w:bookmarkStart w:id="316" w:name="_Toc296346533"/>
      <w:r>
        <w:rPr>
          <w:rFonts w:hint="eastAsia"/>
          <w:color w:val="auto"/>
          <w:sz w:val="21"/>
          <w:szCs w:val="21"/>
          <w:highlight w:val="none"/>
        </w:rPr>
        <w:t>.6图纸和承包人文件</w:t>
      </w:r>
      <w:bookmarkEnd w:id="312"/>
      <w:bookmarkEnd w:id="313"/>
    </w:p>
    <w:bookmarkEnd w:id="314"/>
    <w:bookmarkEnd w:id="315"/>
    <w:bookmarkEnd w:id="316"/>
    <w:p w14:paraId="356E640F">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1.6.1 图纸的提供和交底</w:t>
      </w:r>
    </w:p>
    <w:p w14:paraId="5C89F18C">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发包人应按照专用合同条款约定的期限、数量和内容向承包人免费提供图纸，并组织承包人、监理人和设计人进行图纸会审和设计交底。发包人至迟不得晚于第7.3.2项〔开工通知〕载明的开工日期前14天向承包人提供图纸。</w:t>
      </w:r>
    </w:p>
    <w:p w14:paraId="49346F03">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因发包人未按合同约定提供图纸导致承包人费用增加和（或）工期延误的，按照第7.5.1项〔因发包人原因导致工期延误〕约定办理。</w:t>
      </w:r>
    </w:p>
    <w:p w14:paraId="7127EFA7">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1.6.2 图纸的错误</w:t>
      </w:r>
    </w:p>
    <w:p w14:paraId="20B8961A">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承包人在收到发包人提供的图纸后，发现图纸存在差错、遗漏或缺陷的，应及时通知监理人。监理人接到该通知后，应附具相关意见并立即报送发包人，发包人应在收到监理人报送的通知后的合理时间内作出决定。合理时间是指发包人在收到监理人的报送通知后，尽其努力且不懈怠地完成图纸修改补充所需的时间。</w:t>
      </w:r>
    </w:p>
    <w:p w14:paraId="54296535">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1.6.3 图纸的修改和补充</w:t>
      </w:r>
    </w:p>
    <w:p w14:paraId="047BDB9C">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图纸需要修改和补充的，应经图纸原设计人及审批部门同意，并由监理人在工程或工程相应部位施工前将修改后的图纸或补充图纸提交给承包人，承包人应按修改或补充后的图纸施工。</w:t>
      </w:r>
    </w:p>
    <w:p w14:paraId="4C0C8677">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1.6.4 承包人文件</w:t>
      </w:r>
    </w:p>
    <w:p w14:paraId="12BB3578">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承包人应按照专用合同条款的约定提供应当由其编制的与工程施工有关的文件，并按照专用合同条款约定的期限、数量和形式提交监理人，并由监理人报送发包人。</w:t>
      </w:r>
    </w:p>
    <w:p w14:paraId="109D29C4">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除专用合同条款另有约定外，监理人应在收到承包人文件后7天内审查完毕，监理人对承包人文件有异议的，承包人应予以修改，并重新报送监理人。监理人的审查并不减轻或免除承包人根据合同约定应当承担的责任。</w:t>
      </w:r>
    </w:p>
    <w:p w14:paraId="40ED1832">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1.6.5 图纸和承包人文件的保管</w:t>
      </w:r>
    </w:p>
    <w:p w14:paraId="7E5DBD5A">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除专用合同条款另有约定外，承包人应在施工现场另外保存一套完整的图纸和承包人文件，供发包人、监理人及有关人员进行工程检查时使用。</w:t>
      </w:r>
    </w:p>
    <w:p w14:paraId="725C46E8">
      <w:pPr>
        <w:pStyle w:val="7"/>
        <w:spacing w:before="0" w:beforeAutospacing="0" w:after="0" w:afterAutospacing="0" w:line="360" w:lineRule="auto"/>
        <w:ind w:firstLine="422" w:firstLineChars="200"/>
        <w:rPr>
          <w:color w:val="auto"/>
          <w:sz w:val="21"/>
          <w:szCs w:val="21"/>
          <w:highlight w:val="none"/>
        </w:rPr>
      </w:pPr>
      <w:bookmarkStart w:id="317" w:name="_Toc351203502"/>
      <w:bookmarkStart w:id="318" w:name="_Toc532377188"/>
      <w:r>
        <w:rPr>
          <w:rFonts w:hint="eastAsia"/>
          <w:color w:val="auto"/>
          <w:sz w:val="21"/>
          <w:szCs w:val="21"/>
          <w:highlight w:val="none"/>
        </w:rPr>
        <w:t>1</w:t>
      </w:r>
      <w:bookmarkStart w:id="319" w:name="_Toc296503033"/>
      <w:bookmarkStart w:id="320" w:name="_Toc296346534"/>
      <w:bookmarkStart w:id="321" w:name="_Toc337558733"/>
      <w:r>
        <w:rPr>
          <w:rFonts w:hint="eastAsia"/>
          <w:color w:val="auto"/>
          <w:sz w:val="21"/>
          <w:szCs w:val="21"/>
          <w:highlight w:val="none"/>
        </w:rPr>
        <w:t>.7联络</w:t>
      </w:r>
      <w:bookmarkEnd w:id="317"/>
      <w:bookmarkEnd w:id="318"/>
    </w:p>
    <w:bookmarkEnd w:id="319"/>
    <w:bookmarkEnd w:id="320"/>
    <w:bookmarkEnd w:id="321"/>
    <w:p w14:paraId="11D9A130">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1.7.1 与合同有关的通知、批准、证明、证书、指示、指令、要求、请求、同意、意见、确定和决定等，均应采用书面形式，并应在合同约定的期限内送达接收人和送达地点。</w:t>
      </w:r>
    </w:p>
    <w:p w14:paraId="067B3E06">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1.7.2 发包人和承包人应在专用合同条款中约定各自的送达接收人和送达地点。任何一方合同当事人指定的接收人或送达地点发生变动的，应提前3天以书面形式通知对方。</w:t>
      </w:r>
    </w:p>
    <w:p w14:paraId="1180BE98">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1.7.3 发包人和承包人应当及时签收另一方送达至送达地点和指定接收人的来往信函。拒不签收的，由此增加的费用和（或）延误的工期由拒绝接收一方承担。</w:t>
      </w:r>
    </w:p>
    <w:p w14:paraId="534E08F3">
      <w:pPr>
        <w:pStyle w:val="7"/>
        <w:spacing w:before="0" w:beforeAutospacing="0" w:after="0" w:afterAutospacing="0" w:line="360" w:lineRule="auto"/>
        <w:ind w:firstLine="422" w:firstLineChars="200"/>
        <w:rPr>
          <w:color w:val="auto"/>
          <w:sz w:val="21"/>
          <w:szCs w:val="21"/>
          <w:highlight w:val="none"/>
        </w:rPr>
      </w:pPr>
      <w:bookmarkStart w:id="322" w:name="_Toc532377189"/>
      <w:bookmarkStart w:id="323" w:name="_Toc351203503"/>
      <w:r>
        <w:rPr>
          <w:rFonts w:hint="eastAsia"/>
          <w:color w:val="auto"/>
          <w:sz w:val="21"/>
          <w:szCs w:val="21"/>
          <w:highlight w:val="none"/>
        </w:rPr>
        <w:t>1</w:t>
      </w:r>
      <w:bookmarkStart w:id="324" w:name="_Toc337558734"/>
      <w:bookmarkStart w:id="325" w:name="_Toc296503035"/>
      <w:bookmarkStart w:id="326" w:name="_Toc296346536"/>
      <w:r>
        <w:rPr>
          <w:rFonts w:hint="eastAsia"/>
          <w:color w:val="auto"/>
          <w:sz w:val="21"/>
          <w:szCs w:val="21"/>
          <w:highlight w:val="none"/>
        </w:rPr>
        <w:t>.8严禁贿赂</w:t>
      </w:r>
      <w:bookmarkEnd w:id="322"/>
      <w:bookmarkEnd w:id="323"/>
    </w:p>
    <w:bookmarkEnd w:id="324"/>
    <w:bookmarkEnd w:id="325"/>
    <w:bookmarkEnd w:id="326"/>
    <w:p w14:paraId="5A308085">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合同当事人不得以贿赂或变相贿赂的方式，谋取非法利益或损害对方权益。因一方合同当事人的贿赂造成对方损失的，应赔偿损失，并承担相应的法律责任。</w:t>
      </w:r>
    </w:p>
    <w:p w14:paraId="5F968578">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承包人不得与监理人或发包人聘请的第三方串通损害发包人利益。未经发包人书面同意，承包人不得为监理人提供合同约定以外的通讯设备、交通工具及其他任何形式的利益，不得向监理人支付报酬。</w:t>
      </w:r>
    </w:p>
    <w:p w14:paraId="1679A597">
      <w:pPr>
        <w:pStyle w:val="7"/>
        <w:spacing w:before="0" w:beforeAutospacing="0" w:after="0" w:afterAutospacing="0" w:line="360" w:lineRule="auto"/>
        <w:ind w:firstLine="422" w:firstLineChars="200"/>
        <w:rPr>
          <w:color w:val="auto"/>
          <w:sz w:val="21"/>
          <w:szCs w:val="21"/>
          <w:highlight w:val="none"/>
        </w:rPr>
      </w:pPr>
      <w:bookmarkStart w:id="327" w:name="_Toc532377190"/>
      <w:bookmarkStart w:id="328" w:name="_Toc351203504"/>
      <w:r>
        <w:rPr>
          <w:rFonts w:hint="eastAsia"/>
          <w:color w:val="auto"/>
          <w:sz w:val="21"/>
          <w:szCs w:val="21"/>
          <w:highlight w:val="none"/>
        </w:rPr>
        <w:t>1</w:t>
      </w:r>
      <w:bookmarkStart w:id="329" w:name="_Toc337558735"/>
      <w:bookmarkStart w:id="330" w:name="_Toc296503036"/>
      <w:bookmarkStart w:id="331" w:name="_Toc296346537"/>
      <w:r>
        <w:rPr>
          <w:rFonts w:hint="eastAsia"/>
          <w:color w:val="auto"/>
          <w:sz w:val="21"/>
          <w:szCs w:val="21"/>
          <w:highlight w:val="none"/>
        </w:rPr>
        <w:t>.9化石、文物</w:t>
      </w:r>
      <w:bookmarkEnd w:id="327"/>
      <w:bookmarkEnd w:id="328"/>
    </w:p>
    <w:bookmarkEnd w:id="329"/>
    <w:bookmarkEnd w:id="330"/>
    <w:bookmarkEnd w:id="331"/>
    <w:p w14:paraId="52AF3113">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在施工现场发掘的所有文物、古迹以及具有地质研究或考古价值的其他遗迹、化石、钱币或物品属于国家所有。一旦发现上述文物，承包人应采取合理有效的保护措施，防止任何人员移动或损坏上述物品，并立即报告有关政府行政管理部门，同时通知监理人。</w:t>
      </w:r>
    </w:p>
    <w:p w14:paraId="2880388A">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发包人、监理人和承包人应按有关政府行政管理部门要求采取妥善的保护措施，由此增加的费用和（或）延误的工期由发包人承担。</w:t>
      </w:r>
    </w:p>
    <w:p w14:paraId="479DAB88">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承包人发现文物后不及时报告或隐瞒不报，致使文物丢失或损坏的，应赔偿损失，并承担相应的法律责任。</w:t>
      </w:r>
    </w:p>
    <w:p w14:paraId="70ECD0F3">
      <w:pPr>
        <w:pStyle w:val="7"/>
        <w:spacing w:before="0" w:beforeAutospacing="0" w:after="0" w:afterAutospacing="0" w:line="360" w:lineRule="auto"/>
        <w:ind w:firstLine="422" w:firstLineChars="200"/>
        <w:rPr>
          <w:color w:val="auto"/>
          <w:sz w:val="21"/>
          <w:szCs w:val="21"/>
          <w:highlight w:val="none"/>
        </w:rPr>
      </w:pPr>
      <w:bookmarkStart w:id="332" w:name="_Toc532377191"/>
      <w:bookmarkStart w:id="333" w:name="_Toc351203505"/>
      <w:r>
        <w:rPr>
          <w:rFonts w:hint="eastAsia"/>
          <w:color w:val="auto"/>
          <w:sz w:val="21"/>
          <w:szCs w:val="21"/>
          <w:highlight w:val="none"/>
        </w:rPr>
        <w:t>1</w:t>
      </w:r>
      <w:bookmarkStart w:id="334" w:name="_Toc337558736"/>
      <w:r>
        <w:rPr>
          <w:rFonts w:hint="eastAsia"/>
          <w:color w:val="auto"/>
          <w:sz w:val="21"/>
          <w:szCs w:val="21"/>
          <w:highlight w:val="none"/>
        </w:rPr>
        <w:t>.10交通运输</w:t>
      </w:r>
      <w:bookmarkEnd w:id="332"/>
      <w:bookmarkEnd w:id="333"/>
    </w:p>
    <w:bookmarkEnd w:id="334"/>
    <w:p w14:paraId="3F2E3B0E">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1.10.1 出入现场的权利</w:t>
      </w:r>
    </w:p>
    <w:p w14:paraId="0E691885">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除专用合同条款另有约定外，发包人应根据施工需要，负责取得出入施工现场所需的批准手续和全部权利，以及取得因施工所需修建道路、桥梁以及其他基础设施的权利，并承担相关手续费用和建设费用。承包人应协助发包人办理修建场内外道路、桥梁以及其他基础设施的手续。</w:t>
      </w:r>
    </w:p>
    <w:p w14:paraId="2F6BF9BC">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承包人应在订立合同前查勘施工现场，并根据工程规模及技术参数合理预见工程施工所需的进出施工现场的方式、手段、路径等。因承包人未合理预见所增加的费用和（或）延误的工期由承包人承担。</w:t>
      </w:r>
    </w:p>
    <w:p w14:paraId="31F146DA">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1.10.2 场外交通</w:t>
      </w:r>
    </w:p>
    <w:p w14:paraId="1020781A">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发包人应提供场外交通设施的技术参数和具体条件，承包人应遵守有关交通法规，严格按照道路和桥梁的限制荷载行驶，执行有关道路限速、限行、禁止超载的规定，并配合交通管理部门的监督和检查。场外交通设施无法满足工程施工需要的，由发包人负责完善并承担相关费用。</w:t>
      </w:r>
    </w:p>
    <w:p w14:paraId="7B265510">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1.10.3场内交通</w:t>
      </w:r>
    </w:p>
    <w:p w14:paraId="13364E65">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发包人应提供场内交通设施的技术参数和具体条件，并应按照专用合同条款的约定向承包人免费提供满足工程施工所需的场内道路和交通设施。因承包人原因造成上述道路或交通设施损坏的，承包人负责修复并承担由此增加的费用。</w:t>
      </w:r>
    </w:p>
    <w:p w14:paraId="1E7044B2">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除发包人按照合同约定提供的场内道路和交通设施外，承包人负责修建、维修、养护和管理施工所需的其他场内临时道路和交通设施。发包人和监理人可以为实现合同目的使用承包人修建的场内临时道路和交通设施。</w:t>
      </w:r>
    </w:p>
    <w:p w14:paraId="355268F2">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场外交通和场内交通的边界由合同当事人在专用合同条款中约定。</w:t>
      </w:r>
    </w:p>
    <w:p w14:paraId="3E226611">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1.10.4 超大件和超重件的运输</w:t>
      </w:r>
    </w:p>
    <w:p w14:paraId="5857261D">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由承包人负责运输的超大件或超重件，应由承包人负责向交通管理部门办理申请手续，发包人给予协助。运输超大件或超重件所需的道路和桥梁临时加固改造费用和其他有关费用，由承包人承担，但专用合同条款另有约定除外。</w:t>
      </w:r>
    </w:p>
    <w:p w14:paraId="789EEB1B">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1.10.5 道路和桥梁的损坏责任</w:t>
      </w:r>
    </w:p>
    <w:p w14:paraId="7FF089DF">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因承包人运输造成施工场地内外公共道路和桥梁损坏的，由承包人承担修复损坏的全部费用和可能引起的赔偿。</w:t>
      </w:r>
    </w:p>
    <w:p w14:paraId="2E42CF55">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1.10.6 水路和航空运输</w:t>
      </w:r>
    </w:p>
    <w:p w14:paraId="13084E33">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本款前述各项的内容适用于水路运输和航空运输，其中“道路”一词的涵义包括河道、航线、船闸、机场、码头、堤防以及水路或航空运输中其他相似结构物；“车辆”一词的涵义包括船舶和飞机等。</w:t>
      </w:r>
    </w:p>
    <w:p w14:paraId="47043441">
      <w:pPr>
        <w:pStyle w:val="7"/>
        <w:spacing w:before="0" w:beforeAutospacing="0" w:after="0" w:afterAutospacing="0" w:line="360" w:lineRule="auto"/>
        <w:ind w:firstLine="422" w:firstLineChars="200"/>
        <w:rPr>
          <w:color w:val="auto"/>
          <w:sz w:val="21"/>
          <w:szCs w:val="21"/>
          <w:highlight w:val="none"/>
        </w:rPr>
      </w:pPr>
      <w:bookmarkStart w:id="335" w:name="_Toc351203506"/>
      <w:bookmarkStart w:id="336" w:name="_Toc532377192"/>
      <w:r>
        <w:rPr>
          <w:rFonts w:hint="eastAsia"/>
          <w:color w:val="auto"/>
          <w:sz w:val="21"/>
          <w:szCs w:val="21"/>
          <w:highlight w:val="none"/>
        </w:rPr>
        <w:t>1</w:t>
      </w:r>
      <w:bookmarkStart w:id="337" w:name="_Toc337558737"/>
      <w:bookmarkStart w:id="338" w:name="_Toc296503037"/>
      <w:bookmarkStart w:id="339" w:name="_Toc296346538"/>
      <w:r>
        <w:rPr>
          <w:rFonts w:hint="eastAsia"/>
          <w:color w:val="auto"/>
          <w:sz w:val="21"/>
          <w:szCs w:val="21"/>
          <w:highlight w:val="none"/>
        </w:rPr>
        <w:t>.11知识产权</w:t>
      </w:r>
      <w:bookmarkEnd w:id="335"/>
      <w:bookmarkEnd w:id="336"/>
      <w:bookmarkEnd w:id="337"/>
    </w:p>
    <w:bookmarkEnd w:id="338"/>
    <w:bookmarkEnd w:id="339"/>
    <w:p w14:paraId="147D11C1">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1.11.1 除专用合同条款另有约定外，发包人提供给承包人的图纸、发包人为实施工程自行编制或委托编制的技术规范以及反映发包人要求的或其他类似性质的文件的著作权属于发包人，承包人可以为实现合同目的而复制、使用此类文件，但不能用于与合同无关的其他事项。未经发包人书面同意，承包人不得为了合同以外的目的而复制、使用上述文件或将之提供给任何第三方。</w:t>
      </w:r>
    </w:p>
    <w:p w14:paraId="5E06C0A3">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1.11.2 除专用合同条款另有约定外，承包人为实施工程所编制的文件，除署名权以外的著作权属于发包人，承包人可因实施工程的运行、调试、维修、改造等目的而复制、使用此类文件，但不能用于与合同无关的其他事项。未经发包人书面同意，承包人不得为了合同以外的目的而复制、使用上述文件或将之提供给任何第三方。</w:t>
      </w:r>
    </w:p>
    <w:p w14:paraId="4ED8B10A">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1.11.3 合同当事人保证在履行合同过程中不侵犯对方及第三方的知识产权。承包人在使用材料、施工设备、工程设备或采用施工工艺时，因侵犯他人的专利权或其他知识产权所引起的责任，由承包人承担；因发包人提供的材料、施工设备、工程设备或施工工艺导致侵权的，由发包人承担责任。</w:t>
      </w:r>
    </w:p>
    <w:p w14:paraId="1485D481">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1.11.4 除专用合同条款另有约定外，承包人在合同签订前和签订时已确定采用的专利、专有技术、技术秘密的使用费已包含在签约合同价中。</w:t>
      </w:r>
    </w:p>
    <w:p w14:paraId="3F2CE7AE">
      <w:pPr>
        <w:pStyle w:val="7"/>
        <w:spacing w:before="0" w:beforeAutospacing="0" w:after="0" w:afterAutospacing="0" w:line="360" w:lineRule="auto"/>
        <w:ind w:firstLine="422" w:firstLineChars="200"/>
        <w:rPr>
          <w:color w:val="auto"/>
          <w:sz w:val="21"/>
          <w:szCs w:val="21"/>
          <w:highlight w:val="none"/>
        </w:rPr>
      </w:pPr>
      <w:bookmarkStart w:id="340" w:name="_Toc351203507"/>
      <w:bookmarkStart w:id="341" w:name="_Toc532377193"/>
      <w:r>
        <w:rPr>
          <w:rFonts w:hint="eastAsia"/>
          <w:color w:val="auto"/>
          <w:sz w:val="21"/>
          <w:szCs w:val="21"/>
          <w:highlight w:val="none"/>
        </w:rPr>
        <w:t>1</w:t>
      </w:r>
      <w:bookmarkStart w:id="342" w:name="_Toc337558738"/>
      <w:r>
        <w:rPr>
          <w:rFonts w:hint="eastAsia"/>
          <w:color w:val="auto"/>
          <w:sz w:val="21"/>
          <w:szCs w:val="21"/>
          <w:highlight w:val="none"/>
        </w:rPr>
        <w:t>.12保密</w:t>
      </w:r>
      <w:bookmarkEnd w:id="340"/>
      <w:bookmarkEnd w:id="341"/>
    </w:p>
    <w:bookmarkEnd w:id="342"/>
    <w:p w14:paraId="711E61C1">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除法律规定或合同另有约定外，未经发包人同意，承包人不得将发包人提供的图纸、文件以及声明需要保密的资料信息等商业秘密泄露给第三方。</w:t>
      </w:r>
    </w:p>
    <w:p w14:paraId="087D7084">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除法律规定或合同另有约定外，未经承包人同意，发包人不得将承包人提供的技术秘密及声明需要保密的资料信息等商业秘密泄露给第三方。</w:t>
      </w:r>
    </w:p>
    <w:p w14:paraId="11CAF99D">
      <w:pPr>
        <w:pStyle w:val="7"/>
        <w:spacing w:before="0" w:beforeAutospacing="0" w:after="0" w:afterAutospacing="0" w:line="360" w:lineRule="auto"/>
        <w:ind w:firstLine="422" w:firstLineChars="200"/>
        <w:rPr>
          <w:color w:val="auto"/>
          <w:sz w:val="21"/>
          <w:szCs w:val="21"/>
          <w:highlight w:val="none"/>
        </w:rPr>
      </w:pPr>
      <w:bookmarkStart w:id="343" w:name="_Toc532377194"/>
      <w:bookmarkStart w:id="344" w:name="_Toc351203508"/>
      <w:r>
        <w:rPr>
          <w:rFonts w:hint="eastAsia"/>
          <w:color w:val="auto"/>
          <w:sz w:val="21"/>
          <w:szCs w:val="21"/>
          <w:highlight w:val="none"/>
        </w:rPr>
        <w:t>1.13工程量清单错误的修正</w:t>
      </w:r>
      <w:bookmarkEnd w:id="343"/>
      <w:bookmarkEnd w:id="344"/>
    </w:p>
    <w:p w14:paraId="2A40C066">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除专用合同条款另有约定外，发包人提供的工程量清单，应被认为是准确的和完整的。出现下列情形之一时，发包人应予以修正，并相应调整合同价格：</w:t>
      </w:r>
    </w:p>
    <w:p w14:paraId="015A9F8A">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（1）工程量清单存在缺项、漏项的；</w:t>
      </w:r>
    </w:p>
    <w:p w14:paraId="58EAD8F4">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（2）工程量清单偏差超出专用合同条款约定的工程量偏差范围的；</w:t>
      </w:r>
    </w:p>
    <w:p w14:paraId="10AB721E">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（3）未按照国家现行计量规范强制性规定计量的。</w:t>
      </w:r>
    </w:p>
    <w:p w14:paraId="5BBCEF0C">
      <w:pPr>
        <w:pStyle w:val="6"/>
        <w:keepNext/>
        <w:keepLines/>
        <w:spacing w:before="120" w:beforeLines="50" w:after="120" w:afterLines="50" w:line="360" w:lineRule="auto"/>
        <w:jc w:val="both"/>
        <w:rPr>
          <w:color w:val="auto"/>
          <w:szCs w:val="21"/>
          <w:highlight w:val="none"/>
        </w:rPr>
      </w:pPr>
      <w:bookmarkStart w:id="345" w:name="_Toc532375588"/>
      <w:bookmarkStart w:id="346" w:name="_Toc532377195"/>
      <w:bookmarkStart w:id="347" w:name="_Toc351203509"/>
      <w:r>
        <w:rPr>
          <w:rFonts w:hint="eastAsia"/>
          <w:color w:val="auto"/>
          <w:szCs w:val="21"/>
          <w:highlight w:val="none"/>
        </w:rPr>
        <w:t>2</w:t>
      </w:r>
      <w:bookmarkStart w:id="348" w:name="_Toc296346539"/>
      <w:bookmarkStart w:id="349" w:name="_Toc337558739"/>
      <w:bookmarkStart w:id="350" w:name="_Toc296503038"/>
      <w:bookmarkStart w:id="351" w:name="OLE_LINK2"/>
      <w:r>
        <w:rPr>
          <w:rFonts w:hint="eastAsia"/>
          <w:color w:val="auto"/>
          <w:szCs w:val="21"/>
          <w:highlight w:val="none"/>
        </w:rPr>
        <w:t>. 发包人</w:t>
      </w:r>
      <w:bookmarkEnd w:id="345"/>
      <w:bookmarkEnd w:id="346"/>
      <w:bookmarkEnd w:id="347"/>
    </w:p>
    <w:bookmarkEnd w:id="348"/>
    <w:bookmarkEnd w:id="349"/>
    <w:bookmarkEnd w:id="350"/>
    <w:p w14:paraId="145BF2FA">
      <w:pPr>
        <w:pStyle w:val="7"/>
        <w:spacing w:before="0" w:beforeAutospacing="0" w:after="0" w:afterAutospacing="0" w:line="360" w:lineRule="auto"/>
        <w:ind w:firstLine="422" w:firstLineChars="200"/>
        <w:rPr>
          <w:color w:val="auto"/>
          <w:sz w:val="21"/>
          <w:szCs w:val="21"/>
          <w:highlight w:val="none"/>
        </w:rPr>
      </w:pPr>
      <w:bookmarkStart w:id="352" w:name="_Toc351203510"/>
      <w:bookmarkStart w:id="353" w:name="_Toc532377196"/>
      <w:r>
        <w:rPr>
          <w:rFonts w:hint="eastAsia"/>
          <w:color w:val="auto"/>
          <w:sz w:val="21"/>
          <w:szCs w:val="21"/>
          <w:highlight w:val="none"/>
        </w:rPr>
        <w:t>2</w:t>
      </w:r>
      <w:bookmarkStart w:id="354" w:name="_Toc337558740"/>
      <w:bookmarkStart w:id="355" w:name="_Toc296503039"/>
      <w:bookmarkStart w:id="356" w:name="_Toc296346540"/>
      <w:r>
        <w:rPr>
          <w:rFonts w:hint="eastAsia"/>
          <w:color w:val="auto"/>
          <w:sz w:val="21"/>
          <w:szCs w:val="21"/>
          <w:highlight w:val="none"/>
        </w:rPr>
        <w:t>.1 许可或批准</w:t>
      </w:r>
      <w:bookmarkEnd w:id="352"/>
      <w:bookmarkEnd w:id="353"/>
    </w:p>
    <w:p w14:paraId="4A427FFF">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发包人应遵守法律，并办理法律规定由其办理的许可、批准或备案，包括但不限于建设用地规划许可证、建设工程规划许可证、建设工程施工许可证、施工所需临时用水、临时用电、中断道路交通、临时占用土地等许可和批准。发包人应协助承包人办理法律规定的有关施工证件和批件。</w:t>
      </w:r>
    </w:p>
    <w:p w14:paraId="66BCE40A">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因发包人原因未能及时办理完毕前述许可、批准或备案，由发包人承担由此增加的费用和（或）延误的工期，并支付承包人合理的利润。</w:t>
      </w:r>
    </w:p>
    <w:p w14:paraId="2F712F66">
      <w:pPr>
        <w:pStyle w:val="7"/>
        <w:spacing w:before="0" w:beforeAutospacing="0" w:after="0" w:afterAutospacing="0" w:line="360" w:lineRule="auto"/>
        <w:ind w:firstLine="422" w:firstLineChars="200"/>
        <w:rPr>
          <w:color w:val="auto"/>
          <w:sz w:val="21"/>
          <w:szCs w:val="21"/>
          <w:highlight w:val="none"/>
        </w:rPr>
      </w:pPr>
      <w:bookmarkStart w:id="357" w:name="_Toc351203511"/>
      <w:bookmarkStart w:id="358" w:name="_Toc532377197"/>
      <w:r>
        <w:rPr>
          <w:rFonts w:hint="eastAsia"/>
          <w:color w:val="auto"/>
          <w:sz w:val="21"/>
          <w:szCs w:val="21"/>
          <w:highlight w:val="none"/>
        </w:rPr>
        <w:t>2.2 发包人代表</w:t>
      </w:r>
      <w:bookmarkEnd w:id="357"/>
      <w:bookmarkEnd w:id="358"/>
    </w:p>
    <w:p w14:paraId="05BF0CD2">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发包人应在专用合同条款中明确其派驻施工现场的发包人代表的姓名、职务、联系方式及授权范围等事项。发包人代表在发包人的授权范围内，负责处理合同履行过程中与发包人有关的具体事宜。发包人代表在授权范围内的行为由发包人承担法律责任。发包人更换发包人代表的，应提前7天书面通知承包人。</w:t>
      </w:r>
    </w:p>
    <w:p w14:paraId="2F76A429">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发包人代表不能按照合同约定履行其职责及义务，并导致合同无法继续正常履行的，承包人可以要求发包人撤换发包人代表。</w:t>
      </w:r>
    </w:p>
    <w:p w14:paraId="7F1373AD">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不属于法定必须监理的工程，监理人的职权可以由发包人代表或发包人指定的其他人员行使。</w:t>
      </w:r>
    </w:p>
    <w:p w14:paraId="5348898D">
      <w:pPr>
        <w:pStyle w:val="7"/>
        <w:spacing w:before="0" w:beforeAutospacing="0" w:after="0" w:afterAutospacing="0" w:line="360" w:lineRule="auto"/>
        <w:ind w:firstLine="422" w:firstLineChars="200"/>
        <w:rPr>
          <w:color w:val="auto"/>
          <w:sz w:val="21"/>
          <w:szCs w:val="21"/>
          <w:highlight w:val="none"/>
        </w:rPr>
      </w:pPr>
      <w:bookmarkStart w:id="359" w:name="_Toc532377198"/>
      <w:bookmarkStart w:id="360" w:name="_Toc351203512"/>
      <w:r>
        <w:rPr>
          <w:rFonts w:hint="eastAsia"/>
          <w:color w:val="auto"/>
          <w:sz w:val="21"/>
          <w:szCs w:val="21"/>
          <w:highlight w:val="none"/>
        </w:rPr>
        <w:t>2.3 发包人人员</w:t>
      </w:r>
      <w:bookmarkEnd w:id="359"/>
      <w:bookmarkEnd w:id="360"/>
    </w:p>
    <w:p w14:paraId="55F5FF73">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发包人应要求在施工现场的发包人人员遵守法律及有关安全、质量、环境保护、文明施工等规定，并保障承包人免于承受因发包人人员未遵守上述要求给承包人造成的损失和责任。</w:t>
      </w:r>
    </w:p>
    <w:p w14:paraId="2739DB6C">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发包人人员包括发包人代表及其他由发包人派驻施工现场的人员。</w:t>
      </w:r>
      <w:bookmarkEnd w:id="354"/>
      <w:bookmarkEnd w:id="355"/>
      <w:bookmarkEnd w:id="356"/>
    </w:p>
    <w:p w14:paraId="57B16701">
      <w:pPr>
        <w:pStyle w:val="7"/>
        <w:spacing w:before="0" w:beforeAutospacing="0" w:after="0" w:afterAutospacing="0" w:line="360" w:lineRule="auto"/>
        <w:ind w:firstLine="422" w:firstLineChars="200"/>
        <w:rPr>
          <w:color w:val="auto"/>
          <w:sz w:val="21"/>
          <w:szCs w:val="21"/>
          <w:highlight w:val="none"/>
        </w:rPr>
      </w:pPr>
      <w:bookmarkStart w:id="361" w:name="_Toc532377199"/>
      <w:bookmarkStart w:id="362" w:name="_Toc351203513"/>
      <w:r>
        <w:rPr>
          <w:rFonts w:hint="eastAsia"/>
          <w:color w:val="auto"/>
          <w:sz w:val="21"/>
          <w:szCs w:val="21"/>
          <w:highlight w:val="none"/>
        </w:rPr>
        <w:t>2</w:t>
      </w:r>
      <w:bookmarkStart w:id="363" w:name="_Toc296346541"/>
      <w:bookmarkStart w:id="364" w:name="_Toc337558741"/>
      <w:bookmarkStart w:id="365" w:name="_Toc296503040"/>
      <w:r>
        <w:rPr>
          <w:rFonts w:hint="eastAsia"/>
          <w:color w:val="auto"/>
          <w:sz w:val="21"/>
          <w:szCs w:val="21"/>
          <w:highlight w:val="none"/>
        </w:rPr>
        <w:t>.4 施工现场、施工条件和基础资料的提供</w:t>
      </w:r>
      <w:bookmarkEnd w:id="361"/>
      <w:bookmarkEnd w:id="362"/>
      <w:bookmarkEnd w:id="363"/>
      <w:bookmarkEnd w:id="364"/>
      <w:bookmarkEnd w:id="365"/>
    </w:p>
    <w:p w14:paraId="1A7697AA">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2.4.1 提供施工现场</w:t>
      </w:r>
    </w:p>
    <w:p w14:paraId="0BC7BF19">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除</w:t>
      </w:r>
      <w:bookmarkEnd w:id="351"/>
      <w:r>
        <w:rPr>
          <w:rFonts w:hint="eastAsia" w:ascii="宋体" w:hAnsi="宋体"/>
          <w:color w:val="auto"/>
          <w:kern w:val="0"/>
          <w:szCs w:val="21"/>
          <w:highlight w:val="none"/>
        </w:rPr>
        <w:t>专用合同条款另有约定外，发包人应最迟于开工日期7天前向承包人移交施工现场。</w:t>
      </w:r>
    </w:p>
    <w:p w14:paraId="4D8C07D3">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2.4.2 提供施工条件</w:t>
      </w:r>
    </w:p>
    <w:p w14:paraId="1A81C9A3">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除专用合同条款另有约定外，发包人应负责提供施工所需要的条件，包括：</w:t>
      </w:r>
    </w:p>
    <w:p w14:paraId="5727B693">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（1）将施工用水、电力、通讯线路等施工所必需的条件接至施工现场内；</w:t>
      </w:r>
    </w:p>
    <w:p w14:paraId="74A0A053">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（2）保证向承包人提供正常施工所需要的进入施工现场的交通条件；</w:t>
      </w:r>
    </w:p>
    <w:p w14:paraId="53D51CEB">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（3）协调处理施工现场周围地下管线和邻近建筑物、构筑物、古树名木的保护工作，并承担相关费用；</w:t>
      </w:r>
    </w:p>
    <w:p w14:paraId="64612923">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（4）按照专用合同条款约定应提供的其他设施和条件。</w:t>
      </w:r>
    </w:p>
    <w:p w14:paraId="2A5B7F8B">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2.4.3 提供基础资料</w:t>
      </w:r>
    </w:p>
    <w:p w14:paraId="5591C25B">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发包人应当在移交施工现场前向承包人提供施工现场及工程施工所必需的毗邻区域内供水、排水、供电、供气、供热、通信、广播电视等地下管线资料，气象和水文观测资料，地质勘察资料，相邻建筑物、构筑物和地下工程等有关基础资料，并对所提供资料的真实性、准确性和完整性负责。</w:t>
      </w:r>
    </w:p>
    <w:p w14:paraId="0B45F4B4">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按照法律规定确需在开工后方能提供的基础资料，发包人应尽其努力及时地在相应工程施工前的合理期限内提供，合理期限应以不影响承包人的正常施工为限。</w:t>
      </w:r>
    </w:p>
    <w:p w14:paraId="4AAB750C">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2.4.4 逾期提供的责任</w:t>
      </w:r>
    </w:p>
    <w:p w14:paraId="40223531">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因发包人原因未能按合同约定及时向承包人提供施工现场、施工条件、基础资料的，由发包人承担由此增加的费用和（或）延误的工期。</w:t>
      </w:r>
    </w:p>
    <w:p w14:paraId="0F0326B0">
      <w:pPr>
        <w:pStyle w:val="7"/>
        <w:spacing w:before="0" w:beforeAutospacing="0" w:after="0" w:afterAutospacing="0" w:line="360" w:lineRule="auto"/>
        <w:ind w:firstLine="422" w:firstLineChars="200"/>
        <w:rPr>
          <w:color w:val="auto"/>
          <w:sz w:val="21"/>
          <w:szCs w:val="21"/>
          <w:highlight w:val="none"/>
        </w:rPr>
      </w:pPr>
      <w:bookmarkStart w:id="366" w:name="_Toc351203514"/>
      <w:bookmarkStart w:id="367" w:name="_Toc532377200"/>
      <w:r>
        <w:rPr>
          <w:rFonts w:hint="eastAsia"/>
          <w:color w:val="auto"/>
          <w:sz w:val="21"/>
          <w:szCs w:val="21"/>
          <w:highlight w:val="none"/>
        </w:rPr>
        <w:t>2</w:t>
      </w:r>
      <w:bookmarkStart w:id="368" w:name="_Toc296503042"/>
      <w:bookmarkStart w:id="369" w:name="_Toc296346543"/>
      <w:bookmarkStart w:id="370" w:name="_Toc337558745"/>
      <w:r>
        <w:rPr>
          <w:rFonts w:hint="eastAsia"/>
          <w:color w:val="auto"/>
          <w:sz w:val="21"/>
          <w:szCs w:val="21"/>
          <w:highlight w:val="none"/>
        </w:rPr>
        <w:t>.5 资</w:t>
      </w:r>
      <w:bookmarkEnd w:id="368"/>
      <w:bookmarkEnd w:id="369"/>
      <w:bookmarkEnd w:id="370"/>
      <w:r>
        <w:rPr>
          <w:rFonts w:hint="eastAsia"/>
          <w:color w:val="auto"/>
          <w:sz w:val="21"/>
          <w:szCs w:val="21"/>
          <w:highlight w:val="none"/>
        </w:rPr>
        <w:t>金来源证明及支付担保</w:t>
      </w:r>
      <w:bookmarkEnd w:id="366"/>
      <w:bookmarkEnd w:id="367"/>
    </w:p>
    <w:p w14:paraId="1EB63EF3">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除专用合同条款另有约定外，发包人应在收到承包人要求提供资金来源证明的书面通知后28天内，向承包人提供能够按照合同约定支付合同价款的相应资金来源证明。</w:t>
      </w:r>
    </w:p>
    <w:p w14:paraId="6C6A9C68">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除专用合同条款另有约定外，发包人要求承包人提供履约担保的，发包人应当向承包人提供支付担保。支付担保可以采用银行保函或担保公司担保等形式，具体由合同当事人在专用合同条款中约定。</w:t>
      </w:r>
    </w:p>
    <w:p w14:paraId="63E83D53">
      <w:pPr>
        <w:pStyle w:val="7"/>
        <w:spacing w:before="0" w:beforeAutospacing="0" w:after="0" w:afterAutospacing="0" w:line="360" w:lineRule="auto"/>
        <w:ind w:firstLine="422" w:firstLineChars="200"/>
        <w:rPr>
          <w:color w:val="auto"/>
          <w:sz w:val="21"/>
          <w:szCs w:val="21"/>
          <w:highlight w:val="none"/>
        </w:rPr>
      </w:pPr>
      <w:bookmarkStart w:id="371" w:name="_Toc351203515"/>
      <w:bookmarkStart w:id="372" w:name="_Toc532377201"/>
      <w:r>
        <w:rPr>
          <w:rFonts w:hint="eastAsia"/>
          <w:color w:val="auto"/>
          <w:sz w:val="21"/>
          <w:szCs w:val="21"/>
          <w:highlight w:val="none"/>
        </w:rPr>
        <w:t>2.6 支付合同价款</w:t>
      </w:r>
      <w:bookmarkEnd w:id="371"/>
      <w:bookmarkEnd w:id="372"/>
    </w:p>
    <w:p w14:paraId="7788E0B5">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发包人应按合同约定向承包人及时支付合同价款。</w:t>
      </w:r>
    </w:p>
    <w:p w14:paraId="50353138">
      <w:pPr>
        <w:pStyle w:val="7"/>
        <w:spacing w:before="0" w:beforeAutospacing="0" w:after="0" w:afterAutospacing="0" w:line="360" w:lineRule="auto"/>
        <w:ind w:firstLine="422" w:firstLineChars="200"/>
        <w:rPr>
          <w:color w:val="auto"/>
          <w:sz w:val="21"/>
          <w:szCs w:val="21"/>
          <w:highlight w:val="none"/>
        </w:rPr>
      </w:pPr>
      <w:bookmarkStart w:id="373" w:name="_Toc532377202"/>
      <w:bookmarkStart w:id="374" w:name="_Toc351203516"/>
      <w:r>
        <w:rPr>
          <w:rFonts w:hint="eastAsia"/>
          <w:color w:val="auto"/>
          <w:sz w:val="21"/>
          <w:szCs w:val="21"/>
          <w:highlight w:val="none"/>
        </w:rPr>
        <w:t>2.7 组织竣工验收</w:t>
      </w:r>
      <w:bookmarkEnd w:id="373"/>
      <w:bookmarkEnd w:id="374"/>
    </w:p>
    <w:p w14:paraId="19DC15EE">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发包人应按合同约定及时组织竣工验收。</w:t>
      </w:r>
    </w:p>
    <w:p w14:paraId="1D6F0B6E">
      <w:pPr>
        <w:pStyle w:val="7"/>
        <w:spacing w:before="0" w:beforeAutospacing="0" w:after="0" w:afterAutospacing="0" w:line="360" w:lineRule="auto"/>
        <w:ind w:firstLine="422" w:firstLineChars="200"/>
        <w:rPr>
          <w:color w:val="auto"/>
          <w:sz w:val="21"/>
          <w:szCs w:val="21"/>
          <w:highlight w:val="none"/>
        </w:rPr>
      </w:pPr>
      <w:bookmarkStart w:id="375" w:name="_Toc532377203"/>
      <w:bookmarkStart w:id="376" w:name="_Toc351203517"/>
      <w:r>
        <w:rPr>
          <w:rFonts w:hint="eastAsia"/>
          <w:color w:val="auto"/>
          <w:sz w:val="21"/>
          <w:szCs w:val="21"/>
          <w:highlight w:val="none"/>
        </w:rPr>
        <w:t>2.8 现场统一管理协议</w:t>
      </w:r>
      <w:bookmarkEnd w:id="375"/>
      <w:bookmarkEnd w:id="376"/>
    </w:p>
    <w:p w14:paraId="669C0F0D">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发包人应与承包人、由发包人直接发包的专业工程的承包人签订施工现场统一管理协议，明确各方的权利义务。施工现场统一管理协议作为专用合同条款的附件。</w:t>
      </w:r>
    </w:p>
    <w:p w14:paraId="3D144240">
      <w:pPr>
        <w:pStyle w:val="6"/>
        <w:keepNext/>
        <w:keepLines/>
        <w:spacing w:before="120" w:beforeLines="50" w:after="120" w:afterLines="50" w:line="360" w:lineRule="auto"/>
        <w:jc w:val="both"/>
        <w:rPr>
          <w:bCs/>
          <w:color w:val="auto"/>
          <w:szCs w:val="21"/>
          <w:highlight w:val="none"/>
        </w:rPr>
      </w:pPr>
      <w:bookmarkStart w:id="377" w:name="_Toc351203518"/>
      <w:bookmarkStart w:id="378" w:name="_Toc532375589"/>
      <w:bookmarkStart w:id="379" w:name="_Toc532377204"/>
      <w:r>
        <w:rPr>
          <w:rFonts w:hint="eastAsia"/>
          <w:color w:val="auto"/>
          <w:szCs w:val="21"/>
          <w:highlight w:val="none"/>
        </w:rPr>
        <w:t>3</w:t>
      </w:r>
      <w:bookmarkStart w:id="380" w:name="_Toc296346546"/>
      <w:bookmarkStart w:id="381" w:name="_Toc337558746"/>
      <w:bookmarkStart w:id="382" w:name="_Toc296503045"/>
      <w:r>
        <w:rPr>
          <w:rFonts w:hint="eastAsia"/>
          <w:color w:val="auto"/>
          <w:szCs w:val="21"/>
          <w:highlight w:val="none"/>
        </w:rPr>
        <w:t>. 承包人</w:t>
      </w:r>
      <w:bookmarkEnd w:id="377"/>
      <w:bookmarkEnd w:id="378"/>
      <w:bookmarkEnd w:id="379"/>
    </w:p>
    <w:bookmarkEnd w:id="380"/>
    <w:bookmarkEnd w:id="381"/>
    <w:bookmarkEnd w:id="382"/>
    <w:p w14:paraId="70B664F6">
      <w:pPr>
        <w:pStyle w:val="7"/>
        <w:spacing w:before="0" w:beforeAutospacing="0" w:after="0" w:afterAutospacing="0" w:line="360" w:lineRule="auto"/>
        <w:ind w:firstLine="422" w:firstLineChars="200"/>
        <w:rPr>
          <w:color w:val="auto"/>
          <w:sz w:val="21"/>
          <w:szCs w:val="21"/>
          <w:highlight w:val="none"/>
        </w:rPr>
      </w:pPr>
      <w:bookmarkStart w:id="383" w:name="_Toc351203519"/>
      <w:bookmarkStart w:id="384" w:name="_Toc532377205"/>
      <w:r>
        <w:rPr>
          <w:rFonts w:hint="eastAsia"/>
          <w:color w:val="auto"/>
          <w:sz w:val="21"/>
          <w:szCs w:val="21"/>
          <w:highlight w:val="none"/>
        </w:rPr>
        <w:t>3</w:t>
      </w:r>
      <w:bookmarkStart w:id="385" w:name="_Toc296346547"/>
      <w:bookmarkStart w:id="386" w:name="_Toc296503046"/>
      <w:bookmarkStart w:id="387" w:name="_Toc337558747"/>
      <w:r>
        <w:rPr>
          <w:rFonts w:hint="eastAsia"/>
          <w:color w:val="auto"/>
          <w:sz w:val="21"/>
          <w:szCs w:val="21"/>
          <w:highlight w:val="none"/>
        </w:rPr>
        <w:t>.1 承包人的一般义务</w:t>
      </w:r>
      <w:bookmarkEnd w:id="383"/>
      <w:bookmarkEnd w:id="384"/>
    </w:p>
    <w:bookmarkEnd w:id="385"/>
    <w:bookmarkEnd w:id="386"/>
    <w:bookmarkEnd w:id="387"/>
    <w:p w14:paraId="59090BD9">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承包人在履行合同过程中应遵守法律和工程建设标准规范，并履行以下义务：</w:t>
      </w:r>
    </w:p>
    <w:p w14:paraId="36CC3057">
      <w:pPr>
        <w:numPr>
          <w:ilvl w:val="0"/>
          <w:numId w:val="2"/>
        </w:num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办理法律规定应由承包人办理的许可和批准，并将办理结果书面报送发包人留存；</w:t>
      </w:r>
    </w:p>
    <w:p w14:paraId="3DACE0DB">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（2）按法律规定和合同约定完成工程，并在保修期内承担保修义务；</w:t>
      </w:r>
    </w:p>
    <w:p w14:paraId="3497D60F">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（3）按法律规定和合同约定采取施工安全和环境保护措施，办理工伤保险，确保工程及人员、材料、设备和设施的安全；</w:t>
      </w:r>
    </w:p>
    <w:p w14:paraId="654E21FA">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（4）按合同约定的工作内容和施工进度要求，编制施工组织设计和施工措施计划，并对所有施工作业和施工方法的完备性和安全可靠性负责；</w:t>
      </w:r>
    </w:p>
    <w:p w14:paraId="2E227A7E">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5）在进行合同约定的各项工作时，不得侵害发包人与他人使用公用道路、水源、市政管网等公共设施的权利，避免对邻近的公共设施产生干扰。承包人占用或使用他人的施工场地，影响他人作业或生活的，应承担相应责任；</w:t>
      </w:r>
    </w:p>
    <w:p w14:paraId="5E7D65BD">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（6）按照第6.3款〔环境保护〕约定负责施工场地及其周边环境与生态的保护工作；</w:t>
      </w:r>
    </w:p>
    <w:p w14:paraId="614A2D63">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（7）按第6.1款〔安全文明施工〕约定采取施工安全措施，确保工程及其人员、材料、设备和设施的安全，防止因工程施工造成的人身伤害和财产损失；</w:t>
      </w:r>
    </w:p>
    <w:p w14:paraId="19A2F481">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（8）将发包人按合同约定支付的各项价款专用于合同工程，且应及时支付其雇用人员工资，并及时向分包人支付合同价款；</w:t>
      </w:r>
    </w:p>
    <w:p w14:paraId="4C681FE1">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（9）按照法律规定和合同约定编制竣工资料，完成竣工资料立卷及归档，并按专用合同条款约定的竣工资料的套数、内容、时间等要求移交发包人；</w:t>
      </w:r>
    </w:p>
    <w:p w14:paraId="005D3635">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（10）应履行的其他义务。</w:t>
      </w:r>
    </w:p>
    <w:p w14:paraId="1D20A083">
      <w:pPr>
        <w:pStyle w:val="7"/>
        <w:spacing w:before="0" w:beforeAutospacing="0" w:after="0" w:afterAutospacing="0" w:line="360" w:lineRule="auto"/>
        <w:ind w:firstLine="422" w:firstLineChars="200"/>
        <w:rPr>
          <w:color w:val="auto"/>
          <w:sz w:val="21"/>
          <w:szCs w:val="21"/>
          <w:highlight w:val="none"/>
        </w:rPr>
      </w:pPr>
      <w:bookmarkStart w:id="388" w:name="_Toc351203520"/>
      <w:bookmarkStart w:id="389" w:name="_Toc532377206"/>
      <w:r>
        <w:rPr>
          <w:rFonts w:hint="eastAsia"/>
          <w:color w:val="auto"/>
          <w:sz w:val="21"/>
          <w:szCs w:val="21"/>
          <w:highlight w:val="none"/>
        </w:rPr>
        <w:t>3</w:t>
      </w:r>
      <w:bookmarkStart w:id="390" w:name="_Toc337558748"/>
      <w:bookmarkStart w:id="391" w:name="_Toc296346548"/>
      <w:bookmarkStart w:id="392" w:name="_Toc296503047"/>
      <w:r>
        <w:rPr>
          <w:rFonts w:hint="eastAsia"/>
          <w:color w:val="auto"/>
          <w:sz w:val="21"/>
          <w:szCs w:val="21"/>
          <w:highlight w:val="none"/>
        </w:rPr>
        <w:t xml:space="preserve">.2 </w:t>
      </w:r>
      <w:bookmarkEnd w:id="388"/>
      <w:r>
        <w:rPr>
          <w:rFonts w:hint="eastAsia"/>
          <w:color w:val="auto"/>
          <w:sz w:val="21"/>
          <w:szCs w:val="21"/>
          <w:highlight w:val="none"/>
        </w:rPr>
        <w:t>项目经理</w:t>
      </w:r>
      <w:bookmarkEnd w:id="389"/>
    </w:p>
    <w:bookmarkEnd w:id="390"/>
    <w:bookmarkEnd w:id="391"/>
    <w:bookmarkEnd w:id="392"/>
    <w:p w14:paraId="19EFEB22">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3.2.1 项目经理应为合同当事人所确认的人选，并在专用合同条款中明确项目经理的姓名、职称、注册执业证书编号、联系方式及授权范围等事项，项目经理经承包人授权后代表承包人负责履行合同。项目经理应是承包人正式聘用的员工，承包人应向发包人提交项目经理与承包人之间的劳动合同，以及承包人为项目经理缴纳社会保险的有效证明。承包人不提交上述文件的，项目经理无权履行职责，发包人有权要求更换项目经理，由此增加的费用和（或）延误的工期由承包人承担。</w:t>
      </w:r>
    </w:p>
    <w:p w14:paraId="3F238CD1">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项目经理应常驻施工现场，且每月在施工现场时间不得少于专用合同条款约定的天数。项目经理不得同时担任其他项目的项目经理。项目经理确需离开施工现场时，应事先通知监理人，并取得发包人的书面同意。项目经理的通知中应当载明临时代行其职责的人员的注册执业资格、管理经验等资料，该人员应具备履行相应职责的能力。</w:t>
      </w:r>
    </w:p>
    <w:p w14:paraId="50502ED0">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承包人违反上述约定的，应按照专用合同条款的约定，承担违约责任。</w:t>
      </w:r>
    </w:p>
    <w:p w14:paraId="25033166">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3.2.2 项目经理按合同约定组织工程实施。在紧急情况下为确保施工安全和人员安全，在无法与发包人代表和总监理工程师及时取得联系时，项目经理有权采取必要的措施保证与工程有关的人身、财产和工程的安全，但应在48小时内向发包人代表和总监理工程师提交书面报告。</w:t>
      </w:r>
    </w:p>
    <w:p w14:paraId="653B10EC">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3.2.3 承包人需要更换项目经理的，应提前14天书面通知发包人和监理人，并征得发包人书面同意。通知中应当载明继任项目经理的注册执业资格、管理经验等资料，继任项目经理继续履行第3.2.1项约定的职责。未经发包人书面同意，承包人不得擅自更换项目经理。承包人擅自更换项目经理的，应按照专用合同条款的约定承担违约责任。</w:t>
      </w:r>
    </w:p>
    <w:p w14:paraId="3371A36D">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3.2.4 发包人有权书面通知承包人更换其认为不称职的项目经理，通知中应当载明要求更换的理由。承包人应在接到更换通知后14天内向发包人提出书面的改进报告。发包人收到改进报告后仍要求更换的，承包人应在接到第二次更换通知的28天内进行更换，并将新任命的项目经理的注册执业资格、管理经验等资料书面通知发包人。继任项目经理继续履行第3.2.1项约定的职责。承包人无正当理由拒绝更换项目经理的，应按照专用合同条款的约定承担违约责任。</w:t>
      </w:r>
    </w:p>
    <w:p w14:paraId="00D1F31C">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3.2.5 项目经理因特殊情况授权其下属人员履行其某项工作职责的，该下属人员应具备履行相应职责的能力，并应提前7天将上述人员的姓名和授权范围书面通知监理人，并征得发包人书面同意。</w:t>
      </w:r>
    </w:p>
    <w:p w14:paraId="7E8A70B6">
      <w:pPr>
        <w:pStyle w:val="7"/>
        <w:spacing w:before="0" w:beforeAutospacing="0" w:after="0" w:afterAutospacing="0" w:line="360" w:lineRule="auto"/>
        <w:ind w:firstLine="422" w:firstLineChars="200"/>
        <w:rPr>
          <w:color w:val="auto"/>
          <w:sz w:val="21"/>
          <w:szCs w:val="21"/>
          <w:highlight w:val="none"/>
        </w:rPr>
      </w:pPr>
      <w:bookmarkStart w:id="393" w:name="_Toc351203521"/>
      <w:bookmarkStart w:id="394" w:name="_Toc532377207"/>
      <w:r>
        <w:rPr>
          <w:rFonts w:hint="eastAsia"/>
          <w:color w:val="auto"/>
          <w:sz w:val="21"/>
          <w:szCs w:val="21"/>
          <w:highlight w:val="none"/>
        </w:rPr>
        <w:t>3</w:t>
      </w:r>
      <w:bookmarkStart w:id="395" w:name="_Toc296346549"/>
      <w:bookmarkStart w:id="396" w:name="_Toc296503048"/>
      <w:bookmarkStart w:id="397" w:name="_Toc337558749"/>
      <w:r>
        <w:rPr>
          <w:rFonts w:hint="eastAsia"/>
          <w:color w:val="auto"/>
          <w:sz w:val="21"/>
          <w:szCs w:val="21"/>
          <w:highlight w:val="none"/>
        </w:rPr>
        <w:t xml:space="preserve">.3 </w:t>
      </w:r>
      <w:bookmarkEnd w:id="395"/>
      <w:bookmarkEnd w:id="396"/>
      <w:r>
        <w:rPr>
          <w:rFonts w:hint="eastAsia"/>
          <w:color w:val="auto"/>
          <w:sz w:val="21"/>
          <w:szCs w:val="21"/>
          <w:highlight w:val="none"/>
        </w:rPr>
        <w:t>承包人人员</w:t>
      </w:r>
      <w:bookmarkEnd w:id="393"/>
      <w:bookmarkEnd w:id="394"/>
    </w:p>
    <w:bookmarkEnd w:id="397"/>
    <w:p w14:paraId="31F5E20A">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3.3.1 除专用合同条款另有约定外，承包人应在接到开工通知后7天内，向监理人提交承包人项目管理机构及施工现场人员安排的报告，其内容应包括合同管理、施工、技术、材料、质量、安全、财务等主要施工管理人员名单及其岗位、注册执业资格等，以及各工种技术工人的安排情况，并同时提交主要施工管理人员与承包人之间的劳动关系证明和缴纳社会保险的有效证明。</w:t>
      </w:r>
    </w:p>
    <w:p w14:paraId="42BF8031">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3.3.2 承包人派驻到施工现场的主要施工管理人员应相对稳定。施工过程中如有变动，承包人应及时向监理人提交施工现场人员变动情况的报告。承包人更换主要施工管理人员时，应提前7天书面通知监理人，并征得发包人书面同意。通知中应当载明继任人员的注册执业资格、管理经验等资料。</w:t>
      </w:r>
    </w:p>
    <w:p w14:paraId="022F8793">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特殊工种作业人员均应持有相应的资格证明，监理人可以随时检查。</w:t>
      </w:r>
    </w:p>
    <w:p w14:paraId="47CBAA01">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3.3.3 发包人对于承包人主要施工管理人员的资格或能力有异议的，承包人应提供资料证明被质疑人员有能力完成其岗位工作或不存在发包人所质疑的情形。发包人要求撤换不能按照合同约定履行职责及义务的主要施工管理人员的，承包人应当撤换。承包人无正当理由拒绝撤换的，应按照专用合同条款的约定承担违约责任。</w:t>
      </w:r>
    </w:p>
    <w:p w14:paraId="25648D93">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3.3.4 除专用合同条款另有约定外，承包人的主要施工管理人员离开施工现场每月累计不超过5天的，应报监理人同意；离开施工现场每月累计超过5天的，应通知监理人，并征得发包人书面同意。主要施工管理人员离开施工现场前应指定一名有经验的人员临时代行其职责，该人员应具备履行相应职责的资格和能力，且应征得监理人或发包人的同意。</w:t>
      </w:r>
    </w:p>
    <w:p w14:paraId="5FFF69E5">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3.3.5 承包人擅自更换主要施工管理人员，或前述人员未经监理人或发包人同意擅自离开施工现场的，应按照专用合同条款约定承担违约责任。</w:t>
      </w:r>
    </w:p>
    <w:p w14:paraId="3667BC61">
      <w:pPr>
        <w:pStyle w:val="7"/>
        <w:spacing w:before="0" w:beforeAutospacing="0" w:after="0" w:afterAutospacing="0" w:line="360" w:lineRule="auto"/>
        <w:ind w:firstLine="422" w:firstLineChars="200"/>
        <w:rPr>
          <w:color w:val="auto"/>
          <w:sz w:val="21"/>
          <w:szCs w:val="21"/>
          <w:highlight w:val="none"/>
        </w:rPr>
      </w:pPr>
      <w:bookmarkStart w:id="398" w:name="_Toc351203522"/>
      <w:bookmarkStart w:id="399" w:name="_Toc532377208"/>
      <w:r>
        <w:rPr>
          <w:rFonts w:hint="eastAsia"/>
          <w:color w:val="auto"/>
          <w:sz w:val="21"/>
          <w:szCs w:val="21"/>
          <w:highlight w:val="none"/>
        </w:rPr>
        <w:t>3</w:t>
      </w:r>
      <w:bookmarkStart w:id="400" w:name="_Toc296503050"/>
      <w:bookmarkStart w:id="401" w:name="_Toc296346551"/>
      <w:bookmarkStart w:id="402" w:name="_Toc337558750"/>
      <w:r>
        <w:rPr>
          <w:rFonts w:hint="eastAsia"/>
          <w:color w:val="auto"/>
          <w:sz w:val="21"/>
          <w:szCs w:val="21"/>
          <w:highlight w:val="none"/>
        </w:rPr>
        <w:t>.4 承包人现场查勘</w:t>
      </w:r>
      <w:bookmarkEnd w:id="398"/>
      <w:bookmarkEnd w:id="399"/>
    </w:p>
    <w:bookmarkEnd w:id="400"/>
    <w:bookmarkEnd w:id="401"/>
    <w:bookmarkEnd w:id="402"/>
    <w:p w14:paraId="066CD537">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承包人应对基于发包人按照第2.4.3项〔提供基础资料〕提交的基础资料所做出的解释和推断负责，但因基础资料存在错误、遗漏导致承包人解释或推断失实的，由发包人承担责任。</w:t>
      </w:r>
    </w:p>
    <w:p w14:paraId="3D35100D">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承包人应对施工现场和施工条件进行查勘，并充分了解工程所在地的气象条件、交通条件、风俗习惯以及其他与完成合同工作有关的其他资料。因承包人未能充分查勘、了解前述情况或未能充分估计前述情况所可能产生后果的，承包人承担由此增加的费用和（或）延误的工期。</w:t>
      </w:r>
    </w:p>
    <w:p w14:paraId="52263F47">
      <w:pPr>
        <w:pStyle w:val="7"/>
        <w:spacing w:before="0" w:beforeAutospacing="0" w:after="0" w:afterAutospacing="0" w:line="360" w:lineRule="auto"/>
        <w:ind w:firstLine="422" w:firstLineChars="200"/>
        <w:rPr>
          <w:color w:val="auto"/>
          <w:sz w:val="21"/>
          <w:szCs w:val="21"/>
          <w:highlight w:val="none"/>
        </w:rPr>
      </w:pPr>
      <w:bookmarkStart w:id="403" w:name="_Toc351203523"/>
      <w:bookmarkStart w:id="404" w:name="_Toc532377209"/>
      <w:r>
        <w:rPr>
          <w:rFonts w:hint="eastAsia"/>
          <w:color w:val="auto"/>
          <w:sz w:val="21"/>
          <w:szCs w:val="21"/>
          <w:highlight w:val="none"/>
        </w:rPr>
        <w:t>3</w:t>
      </w:r>
      <w:bookmarkStart w:id="405" w:name="_Toc337558751"/>
      <w:bookmarkStart w:id="406" w:name="_Toc296503051"/>
      <w:bookmarkStart w:id="407" w:name="_Toc296346552"/>
      <w:r>
        <w:rPr>
          <w:rFonts w:hint="eastAsia"/>
          <w:color w:val="auto"/>
          <w:sz w:val="21"/>
          <w:szCs w:val="21"/>
          <w:highlight w:val="none"/>
        </w:rPr>
        <w:t>.5 分包</w:t>
      </w:r>
      <w:bookmarkEnd w:id="403"/>
      <w:bookmarkEnd w:id="404"/>
    </w:p>
    <w:bookmarkEnd w:id="405"/>
    <w:bookmarkEnd w:id="406"/>
    <w:bookmarkEnd w:id="407"/>
    <w:p w14:paraId="4911862D">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3.5.1 分包的一般约定</w:t>
      </w:r>
    </w:p>
    <w:p w14:paraId="2561DCD8">
      <w:pPr>
        <w:pStyle w:val="7"/>
        <w:spacing w:before="0" w:beforeAutospacing="0" w:after="0" w:afterAutospacing="0" w:line="360" w:lineRule="auto"/>
        <w:ind w:firstLine="420" w:firstLineChars="200"/>
        <w:rPr>
          <w:b w:val="0"/>
          <w:color w:val="auto"/>
          <w:sz w:val="21"/>
          <w:szCs w:val="21"/>
          <w:highlight w:val="none"/>
        </w:rPr>
      </w:pPr>
      <w:bookmarkStart w:id="408" w:name="_Toc532377210"/>
      <w:bookmarkStart w:id="409" w:name="_Toc351203524"/>
      <w:r>
        <w:rPr>
          <w:rFonts w:hint="eastAsia"/>
          <w:b w:val="0"/>
          <w:color w:val="auto"/>
          <w:sz w:val="21"/>
          <w:szCs w:val="21"/>
          <w:highlight w:val="none"/>
        </w:rPr>
        <w:t>不允许分包。</w:t>
      </w:r>
    </w:p>
    <w:p w14:paraId="71573976">
      <w:pPr>
        <w:pStyle w:val="7"/>
        <w:spacing w:before="0" w:beforeAutospacing="0" w:after="0" w:afterAutospacing="0" w:line="360" w:lineRule="auto"/>
        <w:ind w:firstLine="422" w:firstLineChars="200"/>
        <w:rPr>
          <w:color w:val="auto"/>
          <w:sz w:val="21"/>
          <w:szCs w:val="21"/>
          <w:highlight w:val="none"/>
        </w:rPr>
      </w:pPr>
      <w:r>
        <w:rPr>
          <w:rFonts w:hint="eastAsia"/>
          <w:color w:val="auto"/>
          <w:sz w:val="21"/>
          <w:szCs w:val="21"/>
          <w:highlight w:val="none"/>
        </w:rPr>
        <w:t>3.6 工程照管与成品、半成品保护</w:t>
      </w:r>
      <w:bookmarkEnd w:id="408"/>
      <w:bookmarkEnd w:id="409"/>
    </w:p>
    <w:p w14:paraId="57838903">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（1）除专用合同条款另有约定外，自发包人向承包人移交施工现场之日起，承包人应负责照管工程及工程相关的材料、工程设备，直到颁发工程接收证书之日止。</w:t>
      </w:r>
    </w:p>
    <w:p w14:paraId="24EAEF59">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（2）在承包人负责照管期间，因承包人原因造成工程、材料、工程设备损坏的，由承包人负责修复或更换，并承担由此增加的费用和（或）延误的工期。</w:t>
      </w:r>
    </w:p>
    <w:p w14:paraId="185C4560">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（3）对合同内分期完成的成品和半成品，在工程接收证书颁发前，由承包人承担保护责任。因承包人原因造成成品或半成品损坏的，由承包人负责修复或更换，并承担由此增加的费用和（或）延误的工期。</w:t>
      </w:r>
    </w:p>
    <w:p w14:paraId="0EE20FEF">
      <w:pPr>
        <w:pStyle w:val="7"/>
        <w:spacing w:before="0" w:beforeAutospacing="0" w:after="0" w:afterAutospacing="0" w:line="360" w:lineRule="auto"/>
        <w:ind w:firstLine="422" w:firstLineChars="200"/>
        <w:rPr>
          <w:color w:val="auto"/>
          <w:sz w:val="21"/>
          <w:szCs w:val="21"/>
          <w:highlight w:val="none"/>
        </w:rPr>
      </w:pPr>
      <w:bookmarkStart w:id="410" w:name="_Toc351203525"/>
      <w:bookmarkStart w:id="411" w:name="_Toc532377211"/>
      <w:r>
        <w:rPr>
          <w:rFonts w:hint="eastAsia"/>
          <w:color w:val="auto"/>
          <w:sz w:val="21"/>
          <w:szCs w:val="21"/>
          <w:highlight w:val="none"/>
        </w:rPr>
        <w:t>3</w:t>
      </w:r>
      <w:bookmarkStart w:id="412" w:name="_Toc296346553"/>
      <w:bookmarkStart w:id="413" w:name="_Toc296503052"/>
      <w:bookmarkStart w:id="414" w:name="_Toc337558752"/>
      <w:r>
        <w:rPr>
          <w:rFonts w:hint="eastAsia"/>
          <w:color w:val="auto"/>
          <w:sz w:val="21"/>
          <w:szCs w:val="21"/>
          <w:highlight w:val="none"/>
        </w:rPr>
        <w:t>.7 履约担保</w:t>
      </w:r>
      <w:bookmarkEnd w:id="410"/>
      <w:bookmarkEnd w:id="411"/>
    </w:p>
    <w:bookmarkEnd w:id="412"/>
    <w:bookmarkEnd w:id="413"/>
    <w:bookmarkEnd w:id="414"/>
    <w:p w14:paraId="7CA37C7A">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发包人需要承包人提供履约担保的，由合同当事人在专用合同条款中约定履约担保的方式、金额及期限等。履约担保可以采用银行保函或担保公司担保等形式，具体由合同当事人在专用合同条款中约定。</w:t>
      </w:r>
    </w:p>
    <w:p w14:paraId="5A74CEA3">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因承包人原因导致工期延长的，继续提供履约担保所增加的费用由承包人承担；非因承包人原因导致工期延长的，继续提供履约担保所增加的费用由发包人承担。</w:t>
      </w:r>
    </w:p>
    <w:p w14:paraId="43F197F3">
      <w:pPr>
        <w:pStyle w:val="7"/>
        <w:spacing w:before="0" w:beforeAutospacing="0" w:after="0" w:afterAutospacing="0" w:line="360" w:lineRule="auto"/>
        <w:ind w:firstLine="422" w:firstLineChars="200"/>
        <w:rPr>
          <w:color w:val="auto"/>
          <w:sz w:val="21"/>
          <w:szCs w:val="21"/>
          <w:highlight w:val="none"/>
        </w:rPr>
      </w:pPr>
      <w:bookmarkStart w:id="415" w:name="_Toc532377212"/>
      <w:bookmarkStart w:id="416" w:name="_Toc351203526"/>
      <w:r>
        <w:rPr>
          <w:rFonts w:hint="eastAsia"/>
          <w:color w:val="auto"/>
          <w:sz w:val="21"/>
          <w:szCs w:val="21"/>
          <w:highlight w:val="none"/>
        </w:rPr>
        <w:t>3.8 联合体</w:t>
      </w:r>
      <w:bookmarkEnd w:id="415"/>
      <w:bookmarkEnd w:id="416"/>
    </w:p>
    <w:p w14:paraId="5ABA7BAD">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不接受联合体。</w:t>
      </w:r>
    </w:p>
    <w:p w14:paraId="37D7D00B">
      <w:pPr>
        <w:pStyle w:val="6"/>
        <w:keepNext/>
        <w:keepLines/>
        <w:spacing w:before="120" w:beforeLines="50" w:after="120" w:afterLines="50" w:line="360" w:lineRule="auto"/>
        <w:jc w:val="both"/>
        <w:rPr>
          <w:b/>
          <w:bCs/>
          <w:color w:val="auto"/>
          <w:szCs w:val="21"/>
          <w:highlight w:val="none"/>
        </w:rPr>
      </w:pPr>
      <w:bookmarkStart w:id="417" w:name="_Toc351203527"/>
      <w:bookmarkStart w:id="418" w:name="_Toc532377213"/>
      <w:bookmarkStart w:id="419" w:name="_Toc532375590"/>
      <w:r>
        <w:rPr>
          <w:rFonts w:hint="eastAsia"/>
          <w:b/>
          <w:color w:val="auto"/>
          <w:szCs w:val="21"/>
          <w:highlight w:val="none"/>
        </w:rPr>
        <w:t>4</w:t>
      </w:r>
      <w:bookmarkStart w:id="420" w:name="_Toc296503053"/>
      <w:bookmarkStart w:id="421" w:name="_Toc296346554"/>
      <w:bookmarkStart w:id="422" w:name="_Toc337558753"/>
      <w:r>
        <w:rPr>
          <w:rFonts w:hint="eastAsia"/>
          <w:b/>
          <w:color w:val="auto"/>
          <w:szCs w:val="21"/>
          <w:highlight w:val="none"/>
        </w:rPr>
        <w:t>. 监</w:t>
      </w:r>
      <w:bookmarkEnd w:id="420"/>
      <w:bookmarkEnd w:id="421"/>
      <w:r>
        <w:rPr>
          <w:rFonts w:hint="eastAsia"/>
          <w:b/>
          <w:color w:val="auto"/>
          <w:szCs w:val="21"/>
          <w:highlight w:val="none"/>
        </w:rPr>
        <w:t>理人</w:t>
      </w:r>
      <w:bookmarkEnd w:id="417"/>
      <w:bookmarkEnd w:id="418"/>
      <w:bookmarkEnd w:id="419"/>
    </w:p>
    <w:bookmarkEnd w:id="422"/>
    <w:p w14:paraId="7C9A38FB">
      <w:pPr>
        <w:pStyle w:val="7"/>
        <w:spacing w:before="0" w:beforeAutospacing="0" w:after="0" w:afterAutospacing="0" w:line="360" w:lineRule="auto"/>
        <w:ind w:firstLine="422" w:firstLineChars="200"/>
        <w:rPr>
          <w:color w:val="auto"/>
          <w:sz w:val="21"/>
          <w:szCs w:val="21"/>
          <w:highlight w:val="none"/>
        </w:rPr>
      </w:pPr>
      <w:bookmarkStart w:id="423" w:name="_Toc351203528"/>
      <w:bookmarkStart w:id="424" w:name="_Toc532377214"/>
      <w:r>
        <w:rPr>
          <w:rFonts w:hint="eastAsia"/>
          <w:color w:val="auto"/>
          <w:sz w:val="21"/>
          <w:szCs w:val="21"/>
          <w:highlight w:val="none"/>
        </w:rPr>
        <w:t>4</w:t>
      </w:r>
      <w:bookmarkStart w:id="425" w:name="_Toc296503054"/>
      <w:bookmarkStart w:id="426" w:name="_Toc337558754"/>
      <w:bookmarkStart w:id="427" w:name="_Toc296346555"/>
      <w:r>
        <w:rPr>
          <w:rFonts w:hint="eastAsia"/>
          <w:color w:val="auto"/>
          <w:sz w:val="21"/>
          <w:szCs w:val="21"/>
          <w:highlight w:val="none"/>
        </w:rPr>
        <w:t>.1监理人的一般规定</w:t>
      </w:r>
      <w:bookmarkEnd w:id="423"/>
      <w:bookmarkEnd w:id="424"/>
    </w:p>
    <w:bookmarkEnd w:id="425"/>
    <w:bookmarkEnd w:id="426"/>
    <w:bookmarkEnd w:id="427"/>
    <w:p w14:paraId="3E588CE8">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工程实行监理的，发包人和承包人应在专用合同条款中明确监理人的监理内容及监理权限等事项。监理人应当根据发包人授权及法律规定，代表发包人对工程施工相关事项进行检查、查验、审核、验收，并签发相关指示，但监理人无权修改合同，且无权减轻或免除合同约定的承包人的任何责任与义务。</w:t>
      </w:r>
    </w:p>
    <w:p w14:paraId="6881B955">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除专用合同条款另有约定外，监理人在施工现场的办公场所、生活场所由承包人提供，所发生的费用由发包人承担。</w:t>
      </w:r>
    </w:p>
    <w:p w14:paraId="646FB250">
      <w:pPr>
        <w:pStyle w:val="7"/>
        <w:spacing w:before="0" w:beforeAutospacing="0" w:after="0" w:afterAutospacing="0" w:line="360" w:lineRule="auto"/>
        <w:ind w:firstLine="422" w:firstLineChars="200"/>
        <w:rPr>
          <w:color w:val="auto"/>
          <w:sz w:val="21"/>
          <w:szCs w:val="21"/>
          <w:highlight w:val="none"/>
        </w:rPr>
      </w:pPr>
      <w:bookmarkStart w:id="428" w:name="_Toc351203529"/>
      <w:bookmarkStart w:id="429" w:name="_Toc532377215"/>
      <w:r>
        <w:rPr>
          <w:rFonts w:hint="eastAsia"/>
          <w:color w:val="auto"/>
          <w:sz w:val="21"/>
          <w:szCs w:val="21"/>
          <w:highlight w:val="none"/>
        </w:rPr>
        <w:t>4</w:t>
      </w:r>
      <w:bookmarkStart w:id="430" w:name="_Toc337558755"/>
      <w:r>
        <w:rPr>
          <w:rFonts w:hint="eastAsia"/>
          <w:color w:val="auto"/>
          <w:sz w:val="21"/>
          <w:szCs w:val="21"/>
          <w:highlight w:val="none"/>
        </w:rPr>
        <w:t>.2监理人员</w:t>
      </w:r>
      <w:bookmarkEnd w:id="428"/>
      <w:bookmarkEnd w:id="429"/>
    </w:p>
    <w:bookmarkEnd w:id="430"/>
    <w:p w14:paraId="13854E2B">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发包人授予监理人对工程实施监理的权利由监理人派驻施工现场的监理人员行使，监理人员包括总监理工程师及监理工程师。监理人应将授权的总监理工程师和监理工程师的姓名及授权范围以书面形式提前通知承包人。更换总监理工程师的，监理人应提前7天书面通知承包人；更换其他监理人员，监理人应提前48小时书面通知承包人。</w:t>
      </w:r>
    </w:p>
    <w:p w14:paraId="063C245F">
      <w:pPr>
        <w:pStyle w:val="7"/>
        <w:spacing w:before="0" w:beforeAutospacing="0" w:after="0" w:afterAutospacing="0" w:line="360" w:lineRule="auto"/>
        <w:ind w:firstLine="422" w:firstLineChars="200"/>
        <w:rPr>
          <w:color w:val="auto"/>
          <w:sz w:val="21"/>
          <w:szCs w:val="21"/>
          <w:highlight w:val="none"/>
        </w:rPr>
      </w:pPr>
      <w:bookmarkStart w:id="431" w:name="_Toc351203530"/>
      <w:bookmarkStart w:id="432" w:name="_Toc532377216"/>
      <w:r>
        <w:rPr>
          <w:rFonts w:hint="eastAsia"/>
          <w:color w:val="auto"/>
          <w:sz w:val="21"/>
          <w:szCs w:val="21"/>
          <w:highlight w:val="none"/>
        </w:rPr>
        <w:t>4</w:t>
      </w:r>
      <w:bookmarkStart w:id="433" w:name="_Toc296346556"/>
      <w:bookmarkStart w:id="434" w:name="_Toc296503055"/>
      <w:bookmarkStart w:id="435" w:name="_Toc337558756"/>
      <w:r>
        <w:rPr>
          <w:rFonts w:hint="eastAsia"/>
          <w:color w:val="auto"/>
          <w:sz w:val="21"/>
          <w:szCs w:val="21"/>
          <w:highlight w:val="none"/>
        </w:rPr>
        <w:t>.3</w:t>
      </w:r>
      <w:bookmarkEnd w:id="433"/>
      <w:bookmarkEnd w:id="434"/>
      <w:r>
        <w:rPr>
          <w:rFonts w:hint="eastAsia"/>
          <w:color w:val="auto"/>
          <w:sz w:val="21"/>
          <w:szCs w:val="21"/>
          <w:highlight w:val="none"/>
        </w:rPr>
        <w:t>监理人的指</w:t>
      </w:r>
      <w:bookmarkEnd w:id="435"/>
      <w:r>
        <w:rPr>
          <w:rFonts w:hint="eastAsia"/>
          <w:color w:val="auto"/>
          <w:sz w:val="21"/>
          <w:szCs w:val="21"/>
          <w:highlight w:val="none"/>
        </w:rPr>
        <w:t>示</w:t>
      </w:r>
      <w:bookmarkEnd w:id="431"/>
      <w:bookmarkEnd w:id="432"/>
    </w:p>
    <w:p w14:paraId="0C80818E">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监理人应按照发包人的授权发出监理指示。监理人的指示应采用书面形式，并经其授权的监理人员签名。紧急情况下，为了保证施工人员的安全或避免工程受损，监理人员可以口头形式发出指示，该指示与书面形式的指示具有同等法律效力，但必须在发出口头指示后24小时内补发书面监理指示，补发的书面监理指示应与口头指示一致。</w:t>
      </w:r>
    </w:p>
    <w:p w14:paraId="6D01E531">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监理人发出的指示应送达承包人项目经理或经项目经理授权接收的人员。因监理人未能按合同约定发出指示、指示延误或发出了错误指示而导致承包人费用增加和（或）工期延误的，由发包人承担相应责任。除专用合同条款另有约定外，总监理工程师不应将第4.4款〔商定或确定〕约定应由总监理工程师作出确定的权力授权或委托给其他监理人员。</w:t>
      </w:r>
    </w:p>
    <w:p w14:paraId="73B2772D">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承包人对监理人发出的指示有疑问的，应向监理人提出书面异议，监理人应在48小时内对该指示予以确认、更改或撤销，监理人逾期未回复的，承包人有权拒绝执行上述指示。</w:t>
      </w:r>
    </w:p>
    <w:p w14:paraId="7139941E">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监理人对承包人的任何工作、工程或其采用的材料和工程设备未在约定的或合理期限内提出意见的，视为批准，但不免除或减轻承包人对该工作、工程、材料、工程设备等应承担的责任和义务。</w:t>
      </w:r>
    </w:p>
    <w:p w14:paraId="439B2B9F">
      <w:pPr>
        <w:pStyle w:val="7"/>
        <w:spacing w:before="0" w:beforeAutospacing="0" w:after="0" w:afterAutospacing="0" w:line="360" w:lineRule="auto"/>
        <w:ind w:firstLine="422" w:firstLineChars="200"/>
        <w:rPr>
          <w:color w:val="auto"/>
          <w:sz w:val="21"/>
          <w:szCs w:val="21"/>
          <w:highlight w:val="none"/>
        </w:rPr>
      </w:pPr>
      <w:bookmarkStart w:id="436" w:name="_Toc351203531"/>
      <w:bookmarkStart w:id="437" w:name="_Toc532377217"/>
      <w:r>
        <w:rPr>
          <w:rFonts w:hint="eastAsia"/>
          <w:color w:val="auto"/>
          <w:sz w:val="21"/>
          <w:szCs w:val="21"/>
          <w:highlight w:val="none"/>
        </w:rPr>
        <w:t>4</w:t>
      </w:r>
      <w:bookmarkStart w:id="438" w:name="_Toc337558757"/>
      <w:bookmarkStart w:id="439" w:name="_Toc296503057"/>
      <w:bookmarkStart w:id="440" w:name="_Toc296346558"/>
      <w:r>
        <w:rPr>
          <w:rFonts w:hint="eastAsia"/>
          <w:color w:val="auto"/>
          <w:sz w:val="21"/>
          <w:szCs w:val="21"/>
          <w:highlight w:val="none"/>
        </w:rPr>
        <w:t>.4 商定或确定</w:t>
      </w:r>
      <w:bookmarkEnd w:id="436"/>
      <w:bookmarkEnd w:id="437"/>
    </w:p>
    <w:bookmarkEnd w:id="438"/>
    <w:bookmarkEnd w:id="439"/>
    <w:bookmarkEnd w:id="440"/>
    <w:p w14:paraId="21FBBC61">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合同当事人进行商定或确定时，总监理工程师应当会同合同当事人尽量通过协商达成一致，不能达成一致的，由总监理工程师按照合同约定审慎做出公正的确定。</w:t>
      </w:r>
    </w:p>
    <w:p w14:paraId="0AAF3C06">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总监理工程师应将确定以书面形式通知发包人和承包人，并附详细依据。合同当事人对总监理工程师的确定没有异议的，按照总监理工程师的确定执行。任何一方合同当事人有异议，按照第20条〔争议解决〕约定处理。争议解决前，合同当事人暂按总监理工程师的确定执行；争议解决后，争议解决的结果与总监理工程师的确定不一致的，按照争议解决的结果执行，由此造成的损失由责任人承担。</w:t>
      </w:r>
    </w:p>
    <w:p w14:paraId="71182388">
      <w:pPr>
        <w:pStyle w:val="6"/>
        <w:keepNext/>
        <w:keepLines/>
        <w:spacing w:before="120" w:beforeLines="50" w:after="120" w:afterLines="50" w:line="360" w:lineRule="auto"/>
        <w:jc w:val="both"/>
        <w:rPr>
          <w:b/>
          <w:bCs/>
          <w:color w:val="auto"/>
          <w:szCs w:val="21"/>
          <w:highlight w:val="none"/>
        </w:rPr>
      </w:pPr>
      <w:bookmarkStart w:id="441" w:name="_Toc532377218"/>
      <w:bookmarkStart w:id="442" w:name="_Toc532375591"/>
      <w:bookmarkStart w:id="443" w:name="_Toc351203532"/>
      <w:r>
        <w:rPr>
          <w:rFonts w:hint="eastAsia"/>
          <w:b/>
          <w:color w:val="auto"/>
          <w:szCs w:val="21"/>
          <w:highlight w:val="none"/>
        </w:rPr>
        <w:t>5</w:t>
      </w:r>
      <w:bookmarkStart w:id="444" w:name="_Toc337558758"/>
      <w:r>
        <w:rPr>
          <w:rFonts w:hint="eastAsia"/>
          <w:b/>
          <w:color w:val="auto"/>
          <w:szCs w:val="21"/>
          <w:highlight w:val="none"/>
        </w:rPr>
        <w:t>. 工程质量</w:t>
      </w:r>
      <w:bookmarkEnd w:id="441"/>
      <w:bookmarkEnd w:id="442"/>
      <w:bookmarkEnd w:id="443"/>
    </w:p>
    <w:bookmarkEnd w:id="444"/>
    <w:p w14:paraId="56542372">
      <w:pPr>
        <w:pStyle w:val="7"/>
        <w:spacing w:before="0" w:beforeAutospacing="0" w:after="0" w:afterAutospacing="0" w:line="360" w:lineRule="auto"/>
        <w:ind w:firstLine="422" w:firstLineChars="200"/>
        <w:rPr>
          <w:color w:val="auto"/>
          <w:sz w:val="21"/>
          <w:szCs w:val="21"/>
          <w:highlight w:val="none"/>
        </w:rPr>
      </w:pPr>
      <w:bookmarkStart w:id="445" w:name="_Toc351203533"/>
      <w:bookmarkStart w:id="446" w:name="_Toc532377219"/>
      <w:r>
        <w:rPr>
          <w:rFonts w:hint="eastAsia"/>
          <w:color w:val="auto"/>
          <w:sz w:val="21"/>
          <w:szCs w:val="21"/>
          <w:highlight w:val="none"/>
        </w:rPr>
        <w:t>5</w:t>
      </w:r>
      <w:bookmarkStart w:id="447" w:name="_Toc337558759"/>
      <w:r>
        <w:rPr>
          <w:rFonts w:hint="eastAsia"/>
          <w:color w:val="auto"/>
          <w:sz w:val="21"/>
          <w:szCs w:val="21"/>
          <w:highlight w:val="none"/>
        </w:rPr>
        <w:t>.1质量要求</w:t>
      </w:r>
      <w:bookmarkEnd w:id="445"/>
      <w:bookmarkEnd w:id="446"/>
    </w:p>
    <w:bookmarkEnd w:id="447"/>
    <w:p w14:paraId="45141598">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5.1.1 工程质量标准必须符合现行国家有关工程施工质量验收规范和标准的要求。有关工程质量的特殊标准或要求由合同当事人在专用合同条款中约定。</w:t>
      </w:r>
    </w:p>
    <w:p w14:paraId="142528A3">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5.1.2 因发包人原因造成工程质量未达到合同约定标准的，由发包人承担由此增加的费用和（或）延误的工期，并支付承包人合理的利润。</w:t>
      </w:r>
    </w:p>
    <w:p w14:paraId="38C21736">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5.1.3 因承包人原因造成工程质量未达到合同约定标准的，发包人有权要求承包人返工直至工程质量达到合同约定的标准为止，并由承包人承担由此增加的费用和（或）延误的工期。</w:t>
      </w:r>
    </w:p>
    <w:p w14:paraId="04DD3950">
      <w:pPr>
        <w:pStyle w:val="7"/>
        <w:spacing w:before="0" w:beforeAutospacing="0" w:after="0" w:afterAutospacing="0" w:line="360" w:lineRule="auto"/>
        <w:ind w:firstLine="422" w:firstLineChars="200"/>
        <w:rPr>
          <w:color w:val="auto"/>
          <w:sz w:val="21"/>
          <w:szCs w:val="21"/>
          <w:highlight w:val="none"/>
        </w:rPr>
      </w:pPr>
      <w:bookmarkStart w:id="448" w:name="_Toc351203534"/>
      <w:bookmarkStart w:id="449" w:name="_Toc532377220"/>
      <w:r>
        <w:rPr>
          <w:rFonts w:hint="eastAsia"/>
          <w:color w:val="auto"/>
          <w:sz w:val="21"/>
          <w:szCs w:val="21"/>
          <w:highlight w:val="none"/>
        </w:rPr>
        <w:t>5</w:t>
      </w:r>
      <w:bookmarkStart w:id="450" w:name="_Toc337558760"/>
      <w:r>
        <w:rPr>
          <w:rFonts w:hint="eastAsia"/>
          <w:color w:val="auto"/>
          <w:sz w:val="21"/>
          <w:szCs w:val="21"/>
          <w:highlight w:val="none"/>
        </w:rPr>
        <w:t>.2质量保证措施</w:t>
      </w:r>
      <w:bookmarkEnd w:id="448"/>
      <w:bookmarkEnd w:id="449"/>
    </w:p>
    <w:bookmarkEnd w:id="450"/>
    <w:p w14:paraId="2D7D8D82">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5.2.1 发包人的质量管理</w:t>
      </w:r>
    </w:p>
    <w:p w14:paraId="0FCB67BC">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发包人应按照法律规定及合同约定完成与工程质量有关的各项工作。</w:t>
      </w:r>
    </w:p>
    <w:p w14:paraId="553C9F83">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5.2.2 承包人的质量管理</w:t>
      </w:r>
    </w:p>
    <w:p w14:paraId="1AEA926A">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承包人按照第7.1款〔施工组织设计〕约定向发包人和监理人提交工程质量保证体系及措施文件，建立完善的质量检查制度，并提交相应的工程质量文件。对于发包人和监理人违反法律规定和合同约定的错误指示，承包人有权拒绝实施。</w:t>
      </w:r>
    </w:p>
    <w:p w14:paraId="558640E3">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承包人应对施工人员进行质量教育和技术培训，定期考核施工人员的劳动技能，严格执行施工规范和操作规程。</w:t>
      </w:r>
    </w:p>
    <w:p w14:paraId="56486139">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承包人应按照法律规定和发包人的要求，对材料、工程设备以及工程的所有部位及其施工工艺进行全过程的质量检查和检验，并作详细记录，编制工程质量报表，报送监理人审查。此外，承包人还应按照法律规定和发包人的要求，进行施工现场取样试验、工程复核测量和设备性能检测，提供试验样品、提交试验报告和测量成果以及其他工作。</w:t>
      </w:r>
    </w:p>
    <w:p w14:paraId="58E4B091">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5.2.3 监理人的质量检查和检验</w:t>
      </w:r>
    </w:p>
    <w:p w14:paraId="49164589">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监理人按照法律规定和发包人授权对工程的所有部位及其施工工艺、材料和工程设备进行检查和检验。承包人应为监理人的检查和检验提供方便，包括监理人到施工现场，或制造、加工地点，或合同约定的其他地方进行察看和查阅施工原始记录。监理人为此进行的检查和检验，不免除或减轻承包人按照合同约定应当承担的责任。</w:t>
      </w:r>
    </w:p>
    <w:p w14:paraId="698EC948">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监理人的检查和检验不应影响施工正常进行。监理人的检查和检验影响施工正常进行的，且经检查检验不合格的，影响正常施工的费用由承包人承担，工期不予顺延；经检查检验合格的，由此增加的费用和（或）延误的工期由发包人承担。</w:t>
      </w:r>
    </w:p>
    <w:p w14:paraId="43F8DAD2">
      <w:pPr>
        <w:pStyle w:val="7"/>
        <w:spacing w:before="0" w:beforeAutospacing="0" w:after="0" w:afterAutospacing="0" w:line="360" w:lineRule="auto"/>
        <w:ind w:firstLine="422" w:firstLineChars="200"/>
        <w:rPr>
          <w:color w:val="auto"/>
          <w:sz w:val="21"/>
          <w:szCs w:val="21"/>
          <w:highlight w:val="none"/>
        </w:rPr>
      </w:pPr>
      <w:bookmarkStart w:id="451" w:name="_Toc351203535"/>
      <w:bookmarkStart w:id="452" w:name="_Toc532377221"/>
      <w:r>
        <w:rPr>
          <w:rFonts w:hint="eastAsia"/>
          <w:color w:val="auto"/>
          <w:sz w:val="21"/>
          <w:szCs w:val="21"/>
          <w:highlight w:val="none"/>
        </w:rPr>
        <w:t>5</w:t>
      </w:r>
      <w:bookmarkStart w:id="453" w:name="_Toc337558761"/>
      <w:r>
        <w:rPr>
          <w:rFonts w:hint="eastAsia"/>
          <w:color w:val="auto"/>
          <w:sz w:val="21"/>
          <w:szCs w:val="21"/>
          <w:highlight w:val="none"/>
        </w:rPr>
        <w:t>.3 隐蔽工程检查</w:t>
      </w:r>
      <w:bookmarkEnd w:id="451"/>
      <w:bookmarkEnd w:id="452"/>
    </w:p>
    <w:bookmarkEnd w:id="453"/>
    <w:p w14:paraId="00FDBA25">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5.3.1承包人自检</w:t>
      </w:r>
    </w:p>
    <w:p w14:paraId="09901E45">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承包人应当对工程隐蔽部位进行自检，并经自检确认是否具备覆盖条件。</w:t>
      </w:r>
    </w:p>
    <w:p w14:paraId="2FABB446">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5.3.2检查程序</w:t>
      </w:r>
    </w:p>
    <w:p w14:paraId="3CC536F1">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除专用合同条款另有约定外，工程隐蔽部位经承包人自检确认具备覆盖条件的，承包人应在共同检查前48小时书面通知监理人检查，通知中应载明隐蔽检查的内容、时间和地点，并应附有自检记录和必要的检查资料。</w:t>
      </w:r>
    </w:p>
    <w:p w14:paraId="25400726">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监理人应按时到场并对隐蔽工程及其施工工艺、材料和工程设备进行检查。经监理人检查确认质量符合隐蔽要求，并在验收记录上签名后，承包人才能进行覆盖。经监理人检查质量不合格的，承包人应在监理人指示的时间内完成修复，并由监理人重新检查，由此增加的费用和（或）延误的工期由承包人承担。</w:t>
      </w:r>
    </w:p>
    <w:p w14:paraId="34EBEEFE">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除专用合同条款另有约定外，监理人不能按时进行检查的，应在检查前24小时向承包人提交书面延期要求，但延期不能超过48小时，由此导致工期延误的，工期应予以顺延。监理人未按时进行检查，也未提出延期要求的，视为隐蔽工程检查合格，承包人可自行完成覆盖工作，并作相应记录报送监理人，监理人应签名确认。监理人事后对检查记录有疑问的，可按第5.3.3项〔重新检查〕的约定重新检查。</w:t>
      </w:r>
    </w:p>
    <w:p w14:paraId="115076E8">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5.3.3 重新检查</w:t>
      </w:r>
    </w:p>
    <w:p w14:paraId="6A55255B">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承包人覆盖工程隐蔽部位后，发包人或监理人对质量有疑问的，可要求承包人对已覆盖的部位进行钻孔探测或揭开重新检查，承包人应遵照执行，并在检查后重新覆盖恢复原状。经检查证明工程质量符合合同要求的，由发包人承担由此增加的费用和（或）延误的工期，并支付承包人合理的利润；经检查证明工程质量不符合合同要求的，由此增加的费用和（或）延误的工期由承包人承担。</w:t>
      </w:r>
    </w:p>
    <w:p w14:paraId="26D33A49">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5.3.4 承包人私自覆盖</w:t>
      </w:r>
    </w:p>
    <w:p w14:paraId="5DE84748">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承包人未通知监理人到场检查，私自将工程隐蔽部位覆盖的，监理人有权指示承包人钻孔探测或揭开检查，无论工程隐蔽部位质量是否合格，由此增加的费用和（或）延误的工期均由承包人承担。</w:t>
      </w:r>
    </w:p>
    <w:p w14:paraId="26DB970B">
      <w:pPr>
        <w:pStyle w:val="7"/>
        <w:spacing w:before="0" w:beforeAutospacing="0" w:after="0" w:afterAutospacing="0" w:line="360" w:lineRule="auto"/>
        <w:ind w:firstLine="422" w:firstLineChars="200"/>
        <w:rPr>
          <w:color w:val="auto"/>
          <w:sz w:val="21"/>
          <w:szCs w:val="21"/>
          <w:highlight w:val="none"/>
        </w:rPr>
      </w:pPr>
      <w:bookmarkStart w:id="454" w:name="_Toc532377222"/>
      <w:r>
        <w:rPr>
          <w:rFonts w:hint="eastAsia"/>
          <w:color w:val="auto"/>
          <w:sz w:val="21"/>
          <w:szCs w:val="21"/>
          <w:highlight w:val="none"/>
        </w:rPr>
        <w:t>5.4不合格工程的处理</w:t>
      </w:r>
      <w:bookmarkEnd w:id="454"/>
    </w:p>
    <w:p w14:paraId="045ED2DE">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 xml:space="preserve">5.4.1 因承包人原因造成工程不合格的，发包人有权随时要求承包人采取补救措施，直至达到合同要求的质量标准，由此增加的费用和（或）延误的工期由承包人承担。无法补救的，按照第13.2.4项〔拒绝接收全部或部分工程〕约定执行。 </w:t>
      </w:r>
    </w:p>
    <w:p w14:paraId="05857712">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5.4.2 因发包人原因造成工程不合格的，由此增加的费用和（或）延误的工期由发包人承担，并支付承包人合理的利润。</w:t>
      </w:r>
    </w:p>
    <w:p w14:paraId="170DF826">
      <w:pPr>
        <w:pStyle w:val="7"/>
        <w:spacing w:before="0" w:beforeAutospacing="0" w:after="0" w:afterAutospacing="0" w:line="360" w:lineRule="auto"/>
        <w:ind w:firstLine="422" w:firstLineChars="200"/>
        <w:rPr>
          <w:color w:val="auto"/>
          <w:sz w:val="21"/>
          <w:szCs w:val="21"/>
          <w:highlight w:val="none"/>
        </w:rPr>
      </w:pPr>
      <w:bookmarkStart w:id="455" w:name="_Toc351203537"/>
      <w:bookmarkStart w:id="456" w:name="_Toc532377223"/>
      <w:r>
        <w:rPr>
          <w:rFonts w:hint="eastAsia"/>
          <w:color w:val="auto"/>
          <w:sz w:val="21"/>
          <w:szCs w:val="21"/>
          <w:highlight w:val="none"/>
        </w:rPr>
        <w:t>5.5 质量争议检测</w:t>
      </w:r>
      <w:bookmarkEnd w:id="455"/>
      <w:bookmarkEnd w:id="456"/>
    </w:p>
    <w:p w14:paraId="32A473BB">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合同当事人对工程质量有争议的，由双方协商确定的工程质量检测机构鉴定，由此产生的费用及因此造成的损失，由责任方承担。</w:t>
      </w:r>
    </w:p>
    <w:p w14:paraId="4D3A1EF7">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合同当事人均有责任的，由双方根据其责任分别承担。合同当事人无法达成一致的，按照第4.4款〔商定或确定〕执行。</w:t>
      </w:r>
    </w:p>
    <w:p w14:paraId="4C52C0CC">
      <w:pPr>
        <w:pStyle w:val="6"/>
        <w:keepNext/>
        <w:keepLines/>
        <w:spacing w:before="120" w:beforeLines="50" w:after="120" w:afterLines="50" w:line="360" w:lineRule="auto"/>
        <w:jc w:val="both"/>
        <w:rPr>
          <w:bCs/>
          <w:color w:val="auto"/>
          <w:szCs w:val="21"/>
          <w:highlight w:val="none"/>
        </w:rPr>
      </w:pPr>
      <w:bookmarkStart w:id="457" w:name="_Toc532375592"/>
      <w:bookmarkStart w:id="458" w:name="_Toc351203538"/>
      <w:bookmarkStart w:id="459" w:name="_Toc532377224"/>
      <w:r>
        <w:rPr>
          <w:rFonts w:hint="eastAsia"/>
          <w:color w:val="auto"/>
          <w:szCs w:val="21"/>
          <w:highlight w:val="none"/>
        </w:rPr>
        <w:t>6</w:t>
      </w:r>
      <w:bookmarkStart w:id="460" w:name="_Toc337558763"/>
      <w:r>
        <w:rPr>
          <w:rFonts w:hint="eastAsia"/>
          <w:color w:val="auto"/>
          <w:szCs w:val="21"/>
          <w:highlight w:val="none"/>
        </w:rPr>
        <w:t>. 安全文明施工与环境保护</w:t>
      </w:r>
      <w:bookmarkEnd w:id="457"/>
      <w:bookmarkEnd w:id="458"/>
      <w:bookmarkEnd w:id="459"/>
    </w:p>
    <w:bookmarkEnd w:id="460"/>
    <w:p w14:paraId="7DC52E5D">
      <w:pPr>
        <w:pStyle w:val="7"/>
        <w:spacing w:before="0" w:beforeAutospacing="0" w:after="0" w:afterAutospacing="0" w:line="360" w:lineRule="auto"/>
        <w:ind w:firstLine="422" w:firstLineChars="200"/>
        <w:rPr>
          <w:color w:val="auto"/>
          <w:sz w:val="21"/>
          <w:szCs w:val="21"/>
          <w:highlight w:val="none"/>
        </w:rPr>
      </w:pPr>
      <w:bookmarkStart w:id="461" w:name="_Toc532377225"/>
      <w:bookmarkStart w:id="462" w:name="_Toc351203539"/>
      <w:r>
        <w:rPr>
          <w:rFonts w:hint="eastAsia"/>
          <w:color w:val="auto"/>
          <w:sz w:val="21"/>
          <w:szCs w:val="21"/>
          <w:highlight w:val="none"/>
        </w:rPr>
        <w:t>6</w:t>
      </w:r>
      <w:bookmarkStart w:id="463" w:name="_Toc337558764"/>
      <w:r>
        <w:rPr>
          <w:rFonts w:hint="eastAsia"/>
          <w:color w:val="auto"/>
          <w:sz w:val="21"/>
          <w:szCs w:val="21"/>
          <w:highlight w:val="none"/>
        </w:rPr>
        <w:t>.1安全文明施工</w:t>
      </w:r>
      <w:bookmarkEnd w:id="461"/>
      <w:bookmarkEnd w:id="462"/>
    </w:p>
    <w:bookmarkEnd w:id="463"/>
    <w:p w14:paraId="61244BDA">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6.1.1安全生产要求</w:t>
      </w:r>
    </w:p>
    <w:p w14:paraId="18D70B91">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合同履行期间，合同当事人均应当遵守国家和工程所在地有关安全生产的要求，合同当事人有特别要求的，应在专用合同条款中明确施工项目安全生产标准化达标目标及相应事项。承包人有权拒绝发包人及监理人强令承包人违章作业、冒险施工的任何指示。</w:t>
      </w:r>
    </w:p>
    <w:p w14:paraId="6C641C78">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在施工过程中，如遇到突发的地质变动、事先未知的地下施工障碍等影响施工安全的紧急情况，承包人应及时报告监理人和发包人，发包人应当及时下令停工并报政府有关行政管理部门采取应急措施。</w:t>
      </w:r>
    </w:p>
    <w:p w14:paraId="6092431E">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因安全生产需要暂停施工的，按照第7.8款〔暂停施工〕的约定执行。</w:t>
      </w:r>
    </w:p>
    <w:p w14:paraId="5B3D095F">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6.1.2 安全生产保证措施</w:t>
      </w:r>
    </w:p>
    <w:p w14:paraId="34FBEF0C">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承包人应当按照有关规定编制安全技术措施或者专项施工方案，建立安全生产责任制度、治安保卫制度及安全生产教育培训制度，并按安全生产法律规定及合同约定履行安全职责，如实编制工程安全生产的有关记录，接受发包人、监理人及政府安全监督部门的检查与监督。</w:t>
      </w:r>
    </w:p>
    <w:p w14:paraId="240AAB28">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6.1.3特别安全生产事项</w:t>
      </w:r>
    </w:p>
    <w:p w14:paraId="12F00038">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承包人应按照法律规定进行施工，开工前做好安全技术交底工作，施工过程中做好各项安全防护措施。承包人为实施合同而雇用的特殊工种的人员应受过专门的培训并已取得政府有关管理机构颁发的上岗证书。</w:t>
      </w:r>
    </w:p>
    <w:p w14:paraId="40931B24">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 xml:space="preserve">承包人在动力设备、输电线路、地下管道、密封防震车间、易燃易爆地段以及临街交通要道附近施工时，施工开始前应向发包人和监理人提出安全防护措施，经发包人认可后实施。 </w:t>
      </w:r>
    </w:p>
    <w:p w14:paraId="55017C10">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实施爆破作业，在放射、毒害性环境中施工（含储存、运输、使用）及使用毒害性、腐蚀性物品施工时，承包人应在施工前7天以书面通知发包人和监理人，并报送相应的安全防护措施，经发包人认可后实施。</w:t>
      </w:r>
    </w:p>
    <w:p w14:paraId="32C650E1">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需单独编制危险性较大分部分项专项工程施工方案的，及要求进行专家论证的超过一定规模的危险性较大的分部分项工程，承包人应及时编制和组织论证。</w:t>
      </w:r>
    </w:p>
    <w:p w14:paraId="1490EE25">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6.1.4 治安保卫</w:t>
      </w:r>
    </w:p>
    <w:p w14:paraId="433C6700">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除专用合同条款另有约定外，发包人应与当地公安部门协商，在现场建立治安管理机构或联防组织，统一管理施工场地的治安保卫事项，履行合同工程的治安保卫职责。</w:t>
      </w:r>
    </w:p>
    <w:p w14:paraId="39E0D964">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发包人和承包人除应协助现场治安管理机构或联防组织维护施工场地的社会治安外，还应做好包括生活区在内的各自管辖区的治安保卫工作。</w:t>
      </w:r>
    </w:p>
    <w:p w14:paraId="23630804">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除专用合同条款另有约定外，发包人和承包人应在工程开工后7天内共同编制施工场地治安管理计划，并制定应对突发治安事件的紧急预案。在工程施工过程中，发生暴乱、爆炸等恐怖事件，以及群殴、械斗等群体性突发治安事件的，发包人和承包人应立即向当地政府报告。发包人和承包人应积极协助当地有关部门采取措施平息事态，防止事态扩大，尽量避免人员伤亡和财产损失。</w:t>
      </w:r>
    </w:p>
    <w:p w14:paraId="1F678460">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6.1.5 文明施工</w:t>
      </w:r>
    </w:p>
    <w:p w14:paraId="12887CC1">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承包人在工程施工期间，应当采取措施保持施工现场平整，物料堆放整齐。工程所在地有关政府行政管理部门有特殊要求的，按照其要求执行。合同当事人对文明施工有其他要求的，可以在专用合同条款中明确。</w:t>
      </w:r>
    </w:p>
    <w:p w14:paraId="79C91A8E">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在工程移交之前，承包人应当从施工现场清除承包人的全部工程设备、多余材料、垃圾和各种临时工程，并保持施工现场清洁整齐。经发包人书面同意，承包人可在发包人指定的地点保留承包人履行保修期内的各项义务所需要的材料、施工设备和临时工程。</w:t>
      </w:r>
    </w:p>
    <w:p w14:paraId="7F8B3289">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6.1.6 安全文明施工费</w:t>
      </w:r>
    </w:p>
    <w:p w14:paraId="492DEA4D">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安全文明施工费由发包人承担，发包人不得以任何形式扣减该部分费用。因基准日期后合同所适用的法律或政府有关规定发生变化，增加的安全文明施工费由发包人承担。</w:t>
      </w:r>
    </w:p>
    <w:p w14:paraId="7DF48053">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承包人经发包人同意采取合同约定以外的安全措施所产生的费用，由发包人承担。未经发包人同意的，如果该措施避免了发包人的损失，则发包人在避免损失的额度内承担该措施费。如果该措施避免了承包人的损失，由承包人承担该措施费。</w:t>
      </w:r>
    </w:p>
    <w:p w14:paraId="37F1B184">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除专用合同条款另有约定外，发包人应在开工后28天内预付安全文明施工费总额的50%，其余部分与进度款同期支付。发包人逾期支付安全文明施工费超过7天的，承包人有权向发包人发出要求预付的催告通知，发包人收到通知后7天内仍未支付的，承包人有权暂停施工，并按第16.1.1项〔发包人违约的情形〕执行。</w:t>
      </w:r>
    </w:p>
    <w:p w14:paraId="7FD4C81C">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承包人对安全文明施工费应专款专用，承包人应在财务账目中单独列项备查，不得挪作他用，否则发包人有权责令其限期改正；逾期未改正的，可以责令其暂停施工，由此增加的费用和（或）延误的工期由承包人承担。</w:t>
      </w:r>
    </w:p>
    <w:p w14:paraId="408FEDC4">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6.1.7 紧急情况处理</w:t>
      </w:r>
    </w:p>
    <w:p w14:paraId="4C311F86">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在工程实施期间或缺陷责任期内发生危及工程安全的事件，监理人通知承包人进行抢救，承包人声明无能力或不愿立即执行的，发包人有权雇佣其他人员进行抢救。此类抢救按合同约定属于承包人义务的，由此增加的费用和（或）延误的工期由承包人承担。</w:t>
      </w:r>
    </w:p>
    <w:p w14:paraId="12D34D06">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6.1.8 事故处理</w:t>
      </w:r>
    </w:p>
    <w:p w14:paraId="77E978BC">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工程施工过程中发生事故的，承包人应立即通知监理人，监理人应立即通知发包人。发包人和承包人应立即组织人员和设备进行紧急抢救和抢修，减少人员伤亡和财产损失，防止事故扩大，并保护事故现场。需要移动现场物品时，应作出标记和书面记录，妥善保管有关证据。发包人和承包人应按国家有关规定，及时如实地向有关部门报告事故发生的情况，以及正在采取的紧急措施等。</w:t>
      </w:r>
    </w:p>
    <w:p w14:paraId="473AE2FF">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6.1.9 安全生产责任</w:t>
      </w:r>
    </w:p>
    <w:p w14:paraId="3F695AC6">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6.1.9.1 发包人的安全责任</w:t>
      </w:r>
    </w:p>
    <w:p w14:paraId="7A936E2A">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发包人应负责赔偿以下各种情况造成的损失：</w:t>
      </w:r>
    </w:p>
    <w:p w14:paraId="213EA805">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（1）工程或工程的任何部分对土地的占用所造成的第三者财产损失；</w:t>
      </w:r>
    </w:p>
    <w:p w14:paraId="1A531C13">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（2）由于发包人原因在施工场地及其毗邻地带造成的第三者人身伤亡和财产损失；</w:t>
      </w:r>
    </w:p>
    <w:p w14:paraId="22E9FEC0">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（3）由于发包人原因对承包人、监理人造成的人员人身伤亡和财产损失；</w:t>
      </w:r>
    </w:p>
    <w:p w14:paraId="20C8E6E1">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（4）由于发包人原因造成的发包人自身人员的人身伤害以及财产损失。</w:t>
      </w:r>
    </w:p>
    <w:p w14:paraId="18263DF5">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6.1.9.2 承包人的安全责任</w:t>
      </w:r>
    </w:p>
    <w:p w14:paraId="35BBC177">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由于承包人原因在施工场地内及其毗邻地带造成的发包人、监理人以及第三者人员伤亡和财产损失，由承包人负责赔偿。</w:t>
      </w:r>
    </w:p>
    <w:p w14:paraId="3FB87DC5">
      <w:pPr>
        <w:pStyle w:val="7"/>
        <w:spacing w:before="0" w:beforeAutospacing="0" w:after="0" w:afterAutospacing="0" w:line="360" w:lineRule="auto"/>
        <w:ind w:firstLine="422" w:firstLineChars="200"/>
        <w:rPr>
          <w:color w:val="auto"/>
          <w:sz w:val="21"/>
          <w:szCs w:val="21"/>
          <w:highlight w:val="none"/>
        </w:rPr>
      </w:pPr>
      <w:bookmarkStart w:id="464" w:name="_Toc351203540"/>
      <w:bookmarkStart w:id="465" w:name="_Toc532377226"/>
      <w:r>
        <w:rPr>
          <w:rFonts w:hint="eastAsia"/>
          <w:color w:val="auto"/>
          <w:sz w:val="21"/>
          <w:szCs w:val="21"/>
          <w:highlight w:val="none"/>
        </w:rPr>
        <w:t>6</w:t>
      </w:r>
      <w:bookmarkStart w:id="466" w:name="_Toc337558765"/>
      <w:r>
        <w:rPr>
          <w:rFonts w:hint="eastAsia"/>
          <w:color w:val="auto"/>
          <w:sz w:val="21"/>
          <w:szCs w:val="21"/>
          <w:highlight w:val="none"/>
        </w:rPr>
        <w:t>.2 职业健康</w:t>
      </w:r>
      <w:bookmarkEnd w:id="464"/>
      <w:bookmarkEnd w:id="465"/>
    </w:p>
    <w:bookmarkEnd w:id="466"/>
    <w:p w14:paraId="20860A5E">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6.2.1 劳动保护</w:t>
      </w:r>
    </w:p>
    <w:p w14:paraId="0BE61693">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承包人应按照法律规定安排现场施工人员的劳动和休息时间，保障劳动者的休息时间，并支付合理的报酬和费用。承包人应依法为其履行合同所雇用的人员办理必要的证件、许可、保险和注册等，承包人应督促其分包人为分包人所雇用的人员办理必要的证件、许可、保险和注册等。</w:t>
      </w:r>
    </w:p>
    <w:p w14:paraId="20551722">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承包人应按照法律规定保障现场施工人员的劳动安全，并提供劳动保护，并应按国家有关劳动保护的规定，采取有效的防止粉尘、降低噪声、控制有害气体和保障高温、高寒、高空作业安全等劳动保护措施。承包人雇佣人员在施工中受到伤害的，承包人应立即采取有效措施进行抢救和治疗。</w:t>
      </w:r>
    </w:p>
    <w:p w14:paraId="09539969">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承包人应按法律规定安排工作时间，保证其雇佣人员享有休息和休假的权利。因工程施工的特殊需要占用休假日或延长工作时间的，应不超过法律规定的限度，并按法律规定给予补休或付酬。</w:t>
      </w:r>
    </w:p>
    <w:p w14:paraId="1AB2486E">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6.2.2 生活条件</w:t>
      </w:r>
    </w:p>
    <w:p w14:paraId="25976484">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承包人应为其履行合同所雇用的人员提供必要的膳宿条件和生活环境；承包人应采取有效措施预防传染病，保证施工人员的健康，并定期对施工现场、施工人员生活基地和工程进行防疫和卫生的专业检查和处理， 在远离城镇的施工场地，还应配备必要的伤病防治和急救的医务人员与医疗设施。</w:t>
      </w:r>
    </w:p>
    <w:p w14:paraId="3BBE2BC2">
      <w:pPr>
        <w:pStyle w:val="7"/>
        <w:spacing w:before="0" w:beforeAutospacing="0" w:after="0" w:afterAutospacing="0" w:line="360" w:lineRule="auto"/>
        <w:ind w:firstLine="422" w:firstLineChars="200"/>
        <w:rPr>
          <w:color w:val="auto"/>
          <w:sz w:val="21"/>
          <w:szCs w:val="21"/>
          <w:highlight w:val="none"/>
        </w:rPr>
      </w:pPr>
      <w:bookmarkStart w:id="467" w:name="_Toc351203541"/>
      <w:bookmarkStart w:id="468" w:name="_Toc532377227"/>
      <w:r>
        <w:rPr>
          <w:rFonts w:hint="eastAsia"/>
          <w:color w:val="auto"/>
          <w:sz w:val="21"/>
          <w:szCs w:val="21"/>
          <w:highlight w:val="none"/>
        </w:rPr>
        <w:t>6</w:t>
      </w:r>
      <w:bookmarkStart w:id="469" w:name="_Toc337558766"/>
      <w:r>
        <w:rPr>
          <w:rFonts w:hint="eastAsia"/>
          <w:color w:val="auto"/>
          <w:sz w:val="21"/>
          <w:szCs w:val="21"/>
          <w:highlight w:val="none"/>
        </w:rPr>
        <w:t>.3 环境保护</w:t>
      </w:r>
      <w:bookmarkEnd w:id="467"/>
      <w:bookmarkEnd w:id="468"/>
    </w:p>
    <w:bookmarkEnd w:id="469"/>
    <w:p w14:paraId="712432E8">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承包人应在施工组织设计中列明环境保护的具体措施。在合同履行期间，承包人应采取合理措施保护施工现场环境。对施工作业过程中可能引起的大气、水、噪音以及固体废物污染采取具体可行的防范措施。</w:t>
      </w:r>
    </w:p>
    <w:p w14:paraId="4997C6B8">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承包人应当承担因其原因引起的环境污染侵权损害赔偿责任，因上述环境污染引起纠纷而导致暂停施工的，由此增加的费用和（或）延误的工期由承包人承担。</w:t>
      </w:r>
    </w:p>
    <w:p w14:paraId="0322F7F2">
      <w:pPr>
        <w:pStyle w:val="6"/>
        <w:keepNext/>
        <w:keepLines/>
        <w:spacing w:before="120" w:beforeLines="50" w:after="120" w:afterLines="50" w:line="360" w:lineRule="auto"/>
        <w:jc w:val="both"/>
        <w:rPr>
          <w:bCs/>
          <w:color w:val="auto"/>
          <w:szCs w:val="21"/>
          <w:highlight w:val="none"/>
        </w:rPr>
      </w:pPr>
      <w:bookmarkStart w:id="470" w:name="_Toc532375593"/>
      <w:bookmarkStart w:id="471" w:name="_Toc351203542"/>
      <w:bookmarkStart w:id="472" w:name="_Toc532377228"/>
      <w:r>
        <w:rPr>
          <w:rFonts w:hint="eastAsia"/>
          <w:color w:val="auto"/>
          <w:szCs w:val="21"/>
          <w:highlight w:val="none"/>
        </w:rPr>
        <w:t>7</w:t>
      </w:r>
      <w:bookmarkStart w:id="473" w:name="_Toc337558767"/>
      <w:r>
        <w:rPr>
          <w:rFonts w:hint="eastAsia"/>
          <w:color w:val="auto"/>
          <w:szCs w:val="21"/>
          <w:highlight w:val="none"/>
        </w:rPr>
        <w:t>. 工期和进度</w:t>
      </w:r>
      <w:bookmarkEnd w:id="470"/>
      <w:bookmarkEnd w:id="471"/>
      <w:bookmarkEnd w:id="472"/>
    </w:p>
    <w:bookmarkEnd w:id="473"/>
    <w:p w14:paraId="16B94A63">
      <w:pPr>
        <w:pStyle w:val="7"/>
        <w:spacing w:before="0" w:beforeAutospacing="0" w:after="0" w:afterAutospacing="0" w:line="360" w:lineRule="auto"/>
        <w:ind w:firstLine="422" w:firstLineChars="200"/>
        <w:rPr>
          <w:color w:val="auto"/>
          <w:sz w:val="21"/>
          <w:szCs w:val="21"/>
          <w:highlight w:val="none"/>
        </w:rPr>
      </w:pPr>
      <w:bookmarkStart w:id="474" w:name="_Toc532377229"/>
      <w:bookmarkStart w:id="475" w:name="_Toc351203543"/>
      <w:r>
        <w:rPr>
          <w:rFonts w:hint="eastAsia"/>
          <w:color w:val="auto"/>
          <w:sz w:val="21"/>
          <w:szCs w:val="21"/>
          <w:highlight w:val="none"/>
        </w:rPr>
        <w:t>7</w:t>
      </w:r>
      <w:bookmarkStart w:id="476" w:name="_Toc337558768"/>
      <w:bookmarkStart w:id="477" w:name="_Toc296346567"/>
      <w:bookmarkStart w:id="478" w:name="_Toc296503066"/>
      <w:r>
        <w:rPr>
          <w:rFonts w:hint="eastAsia"/>
          <w:color w:val="auto"/>
          <w:sz w:val="21"/>
          <w:szCs w:val="21"/>
          <w:highlight w:val="none"/>
        </w:rPr>
        <w:t>.1施工组织设计</w:t>
      </w:r>
      <w:bookmarkEnd w:id="474"/>
      <w:bookmarkEnd w:id="475"/>
    </w:p>
    <w:bookmarkEnd w:id="476"/>
    <w:p w14:paraId="1A26D76E">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7.1.1 施工组织设计的内容</w:t>
      </w:r>
    </w:p>
    <w:p w14:paraId="62E909F5">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施工组织设计应包含以下内容：</w:t>
      </w:r>
    </w:p>
    <w:p w14:paraId="3DE4846A">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 xml:space="preserve">（1）施工方案； </w:t>
      </w:r>
    </w:p>
    <w:p w14:paraId="55042D21">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（2）施工现场平面布置图；</w:t>
      </w:r>
    </w:p>
    <w:p w14:paraId="269D40D5">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 xml:space="preserve">（3）施工进度计划和保证措施； </w:t>
      </w:r>
    </w:p>
    <w:p w14:paraId="6BC1DD42">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（4）劳动力及材料供应计划；</w:t>
      </w:r>
    </w:p>
    <w:p w14:paraId="436E4B33">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（5）施工机械设备的选用；</w:t>
      </w:r>
    </w:p>
    <w:p w14:paraId="4CF71974">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（6）质量保证体系及措施；</w:t>
      </w:r>
    </w:p>
    <w:p w14:paraId="419A8843">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（7）安全生产、文明施工措施；</w:t>
      </w:r>
    </w:p>
    <w:p w14:paraId="593CA423">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（8）环境保护、成本控制措施；</w:t>
      </w:r>
    </w:p>
    <w:p w14:paraId="7DD50A40">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（9）合同当事人约定的其他内容。</w:t>
      </w:r>
    </w:p>
    <w:p w14:paraId="2A7C41E0">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7.1.2 施工组织设计的提交和修改</w:t>
      </w:r>
    </w:p>
    <w:p w14:paraId="5964C72A">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除专用合同条款另有约定外，承包人应在合同签订后14天内，但至迟不得晚于第7.3.2项〔开工通知〕载明的开工日期前7天，向监理人提交详细的施工组织设计，并由监理人报送发包人。除专用合同条款另有约定外，发包人和监理人应在监理人收到施工组织设计后7天内确认或提出修改意见。对发包人和监理人提出的合理意见和要求，承包人应自费修改完善。根据工程实际情况需要修改施工组织设计的，承包人应向发包人和监理人提交修改后的施工组织设计。</w:t>
      </w:r>
    </w:p>
    <w:p w14:paraId="050F46A0">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施工进度计划的编制和修改按照第7.2款〔施工进度计划〕执行。</w:t>
      </w:r>
    </w:p>
    <w:p w14:paraId="56755723">
      <w:pPr>
        <w:pStyle w:val="7"/>
        <w:spacing w:before="0" w:beforeAutospacing="0" w:after="0" w:afterAutospacing="0" w:line="360" w:lineRule="auto"/>
        <w:ind w:firstLine="422" w:firstLineChars="200"/>
        <w:rPr>
          <w:color w:val="auto"/>
          <w:sz w:val="21"/>
          <w:szCs w:val="21"/>
          <w:highlight w:val="none"/>
        </w:rPr>
      </w:pPr>
      <w:bookmarkStart w:id="479" w:name="_Toc532377230"/>
      <w:bookmarkStart w:id="480" w:name="_Toc351203544"/>
      <w:r>
        <w:rPr>
          <w:rFonts w:hint="eastAsia"/>
          <w:color w:val="auto"/>
          <w:sz w:val="21"/>
          <w:szCs w:val="21"/>
          <w:highlight w:val="none"/>
        </w:rPr>
        <w:t>7</w:t>
      </w:r>
      <w:bookmarkStart w:id="481" w:name="_Toc337558769"/>
      <w:r>
        <w:rPr>
          <w:rFonts w:hint="eastAsia"/>
          <w:color w:val="auto"/>
          <w:sz w:val="21"/>
          <w:szCs w:val="21"/>
          <w:highlight w:val="none"/>
        </w:rPr>
        <w:t>.2 施工进度计划</w:t>
      </w:r>
      <w:bookmarkEnd w:id="479"/>
      <w:bookmarkEnd w:id="480"/>
    </w:p>
    <w:bookmarkEnd w:id="481"/>
    <w:p w14:paraId="6E071258">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7.2.1 施工进度计划的编制</w:t>
      </w:r>
    </w:p>
    <w:p w14:paraId="68D1A381">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承包人应按照第7.1款〔施工组织设计〕约定提交详细的施工进度计划，施工进度计划的编制应当符合国家法律规定和一般工程实践惯例，施工进度计划经发包人批准后实施。施工进度计划是控制工程进度的依据，发包人和监理人有权按照施工进度计划检查工程进度情况。</w:t>
      </w:r>
    </w:p>
    <w:p w14:paraId="75E8E2BA">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7.2.2 施工进度计划的修订</w:t>
      </w:r>
    </w:p>
    <w:p w14:paraId="354D5B53">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施工进度计划不符合合同要求或与工程的实际进度不一致的，承包人应向监理人提交修订的施工进度计划，并附具有关措施和相关资料，由监理人报送发包人。除专用合同条款另有约定外，发包人和监理人应在收到修订的施工进度计划后7天内完成审核和批准或提出修改意见。发包人和监理人对承包人提交的施工进度计划的确认，不能减轻或免除承包人根据法律规定和合同约定应承担的任何责任或义务。</w:t>
      </w:r>
    </w:p>
    <w:p w14:paraId="10913523">
      <w:pPr>
        <w:pStyle w:val="7"/>
        <w:spacing w:before="0" w:beforeAutospacing="0" w:after="0" w:afterAutospacing="0" w:line="360" w:lineRule="auto"/>
        <w:ind w:firstLine="422" w:firstLineChars="200"/>
        <w:rPr>
          <w:color w:val="auto"/>
          <w:sz w:val="21"/>
          <w:szCs w:val="21"/>
          <w:highlight w:val="none"/>
        </w:rPr>
      </w:pPr>
      <w:bookmarkStart w:id="482" w:name="_Toc351203545"/>
      <w:bookmarkStart w:id="483" w:name="_Toc532377231"/>
      <w:r>
        <w:rPr>
          <w:rFonts w:hint="eastAsia"/>
          <w:color w:val="auto"/>
          <w:sz w:val="21"/>
          <w:szCs w:val="21"/>
          <w:highlight w:val="none"/>
        </w:rPr>
        <w:t>7</w:t>
      </w:r>
      <w:bookmarkStart w:id="484" w:name="_Toc337558770"/>
      <w:r>
        <w:rPr>
          <w:rFonts w:hint="eastAsia"/>
          <w:color w:val="auto"/>
          <w:sz w:val="21"/>
          <w:szCs w:val="21"/>
          <w:highlight w:val="none"/>
        </w:rPr>
        <w:t>.3 开工</w:t>
      </w:r>
      <w:bookmarkEnd w:id="482"/>
      <w:bookmarkEnd w:id="483"/>
    </w:p>
    <w:p w14:paraId="32D03BCD">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7.3.1 开工准备</w:t>
      </w:r>
    </w:p>
    <w:p w14:paraId="2C194707">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除专用合同条款另有约定外，承包人应按照第7.1款〔施工组织设计〕约定的期限，向监理人提交工程开工报审表，经监理人报发包人批准后执行。开工报审表应详细说明按施工进度计划正常施工所需的施工道路、临时设施、材料、工程设备、施工设备、施工人员等落实情况以及工程的进度安排。</w:t>
      </w:r>
    </w:p>
    <w:p w14:paraId="55A731E4">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除专用合同条款另有约定外，合同当事人应按约定完成开工准备工作。</w:t>
      </w:r>
    </w:p>
    <w:p w14:paraId="1BCA5354">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7.3.2 开工通知</w:t>
      </w:r>
    </w:p>
    <w:bookmarkEnd w:id="484"/>
    <w:p w14:paraId="416F7A81">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发包人应按照法律规定获得工程施工所需的许可。经发包人同意后，监理人发出的开工通知应符合法律规定。监理人应在计划开工日期7天前向承包人发出开工通知，工期自开工通知中载明的开工日期起算。</w:t>
      </w:r>
    </w:p>
    <w:p w14:paraId="089DC94A">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除专用合同条款另有约定外，因发包人原因造成监理人未能在计划开工日期之日起90天内发出开工通知的，承包人有权提出价格调整要求，或者解除合同。发包人应当承担由此增加的费用和（或）延误的工期，并向承包人支付合理利润。</w:t>
      </w:r>
    </w:p>
    <w:p w14:paraId="2A4061A1">
      <w:pPr>
        <w:pStyle w:val="7"/>
        <w:spacing w:before="0" w:beforeAutospacing="0" w:after="0" w:afterAutospacing="0" w:line="360" w:lineRule="auto"/>
        <w:ind w:firstLine="422" w:firstLineChars="200"/>
        <w:rPr>
          <w:color w:val="auto"/>
          <w:sz w:val="21"/>
          <w:szCs w:val="21"/>
          <w:highlight w:val="none"/>
        </w:rPr>
      </w:pPr>
      <w:bookmarkStart w:id="485" w:name="_Toc351203546"/>
      <w:bookmarkStart w:id="486" w:name="_Toc532377232"/>
      <w:r>
        <w:rPr>
          <w:rFonts w:hint="eastAsia"/>
          <w:color w:val="auto"/>
          <w:sz w:val="21"/>
          <w:szCs w:val="21"/>
          <w:highlight w:val="none"/>
        </w:rPr>
        <w:t>7.4测量放线</w:t>
      </w:r>
      <w:bookmarkEnd w:id="485"/>
      <w:bookmarkEnd w:id="486"/>
    </w:p>
    <w:p w14:paraId="174F5067">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7.4.1 除专用合同条款另有约定外，发包人应在至迟不得晚于第7.3.2项〔开工通知〕载明的开工日期前7天通过监理人向承包人提供测量基准点、基准线和水准点及其书面资料。发包人应对其提供的测量基准点、基准线和水准点及其书面资料的真实性、准确性和完整性负责。</w:t>
      </w:r>
    </w:p>
    <w:p w14:paraId="5B3F9DF9">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承包人发现发包人提供的测量基准点、基准线和水准点及其书面资料存在错误或疏漏的，应及时通知监理人。监理人应及时报告发包人，并会同发包人和承包人予以核实。发包人应就如何处理和是否继续施工作出决定，并通知监理人和承包人。</w:t>
      </w:r>
    </w:p>
    <w:p w14:paraId="67C45868">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7.4.2 承包人负责施工过程中的全部施工测量放线工作，并配置具有相应资质的人员、合格的仪器、设备和其他物品。承包人应矫正工程的位置、标高、尺寸或准线中出现的任何差错，并对工程各部分的定位负责。</w:t>
      </w:r>
    </w:p>
    <w:p w14:paraId="009210F6">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施工过程中对施工现场内水准点等测量标志物的保护工作由承包人负责。</w:t>
      </w:r>
      <w:bookmarkStart w:id="487" w:name="_Toc351203547"/>
    </w:p>
    <w:p w14:paraId="667EA83C">
      <w:pPr>
        <w:pStyle w:val="7"/>
        <w:spacing w:before="0" w:beforeAutospacing="0" w:after="0" w:afterAutospacing="0" w:line="360" w:lineRule="auto"/>
        <w:ind w:firstLine="422" w:firstLineChars="200"/>
        <w:rPr>
          <w:color w:val="auto"/>
          <w:sz w:val="21"/>
          <w:szCs w:val="21"/>
          <w:highlight w:val="none"/>
        </w:rPr>
      </w:pPr>
      <w:bookmarkStart w:id="488" w:name="_Toc532377233"/>
      <w:r>
        <w:rPr>
          <w:rFonts w:hint="eastAsia"/>
          <w:color w:val="auto"/>
          <w:sz w:val="21"/>
          <w:szCs w:val="21"/>
          <w:highlight w:val="none"/>
        </w:rPr>
        <w:t>7</w:t>
      </w:r>
      <w:bookmarkEnd w:id="477"/>
      <w:bookmarkEnd w:id="478"/>
      <w:bookmarkStart w:id="489" w:name="_Toc337558772"/>
      <w:bookmarkStart w:id="490" w:name="_Toc296503073"/>
      <w:bookmarkStart w:id="491" w:name="_Toc296346574"/>
      <w:r>
        <w:rPr>
          <w:rFonts w:hint="eastAsia"/>
          <w:color w:val="auto"/>
          <w:sz w:val="21"/>
          <w:szCs w:val="21"/>
          <w:highlight w:val="none"/>
        </w:rPr>
        <w:t>.5 工期延误</w:t>
      </w:r>
      <w:bookmarkEnd w:id="487"/>
      <w:bookmarkEnd w:id="488"/>
    </w:p>
    <w:bookmarkEnd w:id="489"/>
    <w:bookmarkEnd w:id="490"/>
    <w:bookmarkEnd w:id="491"/>
    <w:p w14:paraId="4000B961">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7.5.1 因发包人原因导致工期延误</w:t>
      </w:r>
    </w:p>
    <w:p w14:paraId="672436D0">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 xml:space="preserve">在合同履行过程中，因下列情况导致工期延误和（或）费用增加的，由发包人承担由此延误的工期和（或）增加的费用，且发包人应支付承包人合理的利润： </w:t>
      </w:r>
    </w:p>
    <w:p w14:paraId="4C880E1A">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（1）发包人未能按合同约定提供图纸或所提供图纸不符合合同约定的；</w:t>
      </w:r>
    </w:p>
    <w:p w14:paraId="1B9C3A3C">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（2）发包人未能按合同约定提供施工现场、施工条件、基础资料、许可、批准等开工条件的；</w:t>
      </w:r>
    </w:p>
    <w:p w14:paraId="0FB3364E">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（3）发包人提供的测量基准点、基准线和水准点及其书面资料存在错误或疏漏的；</w:t>
      </w:r>
    </w:p>
    <w:p w14:paraId="268AA6BB">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（4）发包人未能在计划开工日期之日起7天内同意下达开工通知的；</w:t>
      </w:r>
    </w:p>
    <w:p w14:paraId="59D460E4">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（5）发包人未能按合同约定日期支付工程预付款、进度款或竣工结算款的；</w:t>
      </w:r>
    </w:p>
    <w:p w14:paraId="1FB0A49D">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（6）监理人未按合同约定发出指示、批准等文件的；</w:t>
      </w:r>
    </w:p>
    <w:p w14:paraId="1A3460A0">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（7）专用合同条款中约定的其他情形。</w:t>
      </w:r>
    </w:p>
    <w:p w14:paraId="144E5BE9">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因发包人原因未按计划开工日期开工的，发包人应按实际开工日期顺延竣工日期，确保实际工期不低于合同约定的工期总日历天数。因发包人原因导致工期延误需要修订施工进度计划的，按照第7.2.2项〔施工进度计划的修订〕执行。</w:t>
      </w:r>
    </w:p>
    <w:p w14:paraId="12016634">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7.5.2 因承包人原因导致工期延误</w:t>
      </w:r>
    </w:p>
    <w:p w14:paraId="4722611A">
      <w:pPr>
        <w:autoSpaceDE w:val="0"/>
        <w:autoSpaceDN w:val="0"/>
        <w:spacing w:line="360" w:lineRule="auto"/>
        <w:ind w:firstLine="420" w:firstLineChars="200"/>
        <w:jc w:val="left"/>
        <w:rPr>
          <w:rFonts w:ascii="宋体" w:hAnsi="宋体"/>
          <w:color w:val="auto"/>
          <w:kern w:val="0"/>
          <w:szCs w:val="21"/>
          <w:highlight w:val="none"/>
        </w:rPr>
      </w:pPr>
      <w:bookmarkStart w:id="492" w:name="_Toc296503076"/>
      <w:bookmarkStart w:id="493" w:name="_Toc296346577"/>
      <w:r>
        <w:rPr>
          <w:rFonts w:hint="eastAsia" w:ascii="宋体" w:hAnsi="宋体"/>
          <w:color w:val="auto"/>
          <w:kern w:val="0"/>
          <w:szCs w:val="21"/>
          <w:highlight w:val="none"/>
        </w:rPr>
        <w:t>因</w:t>
      </w:r>
      <w:bookmarkEnd w:id="492"/>
      <w:bookmarkEnd w:id="493"/>
      <w:r>
        <w:rPr>
          <w:rFonts w:hint="eastAsia" w:ascii="宋体" w:hAnsi="宋体"/>
          <w:color w:val="auto"/>
          <w:kern w:val="0"/>
          <w:szCs w:val="21"/>
          <w:highlight w:val="none"/>
        </w:rPr>
        <w:t>承包人原因造成工期延误的，可以在专用合同条款中约定逾期竣工违约金的计算方法和逾期竣工违约金的上限。承包人支付逾期竣工违约金后，不免除承包人继续完成工程及修补缺陷的义务。</w:t>
      </w:r>
    </w:p>
    <w:p w14:paraId="5BDE27C6">
      <w:pPr>
        <w:pStyle w:val="7"/>
        <w:spacing w:before="0" w:beforeAutospacing="0" w:after="0" w:afterAutospacing="0" w:line="360" w:lineRule="auto"/>
        <w:ind w:firstLine="422" w:firstLineChars="200"/>
        <w:rPr>
          <w:color w:val="auto"/>
          <w:sz w:val="21"/>
          <w:szCs w:val="21"/>
          <w:highlight w:val="none"/>
        </w:rPr>
      </w:pPr>
      <w:bookmarkStart w:id="494" w:name="_Toc532377234"/>
      <w:bookmarkStart w:id="495" w:name="_Toc351203548"/>
      <w:r>
        <w:rPr>
          <w:rFonts w:hint="eastAsia"/>
          <w:color w:val="auto"/>
          <w:sz w:val="21"/>
          <w:szCs w:val="21"/>
          <w:highlight w:val="none"/>
        </w:rPr>
        <w:t>7</w:t>
      </w:r>
      <w:bookmarkStart w:id="496" w:name="_Toc337558773"/>
      <w:bookmarkStart w:id="497" w:name="_Toc296346575"/>
      <w:bookmarkStart w:id="498" w:name="_Toc296503074"/>
      <w:bookmarkStart w:id="499" w:name="_Toc296503077"/>
      <w:bookmarkStart w:id="500" w:name="_Toc296346578"/>
      <w:r>
        <w:rPr>
          <w:rFonts w:hint="eastAsia"/>
          <w:color w:val="auto"/>
          <w:sz w:val="21"/>
          <w:szCs w:val="21"/>
          <w:highlight w:val="none"/>
        </w:rPr>
        <w:t>.6 不利物质条件</w:t>
      </w:r>
      <w:bookmarkEnd w:id="494"/>
      <w:bookmarkEnd w:id="495"/>
    </w:p>
    <w:bookmarkEnd w:id="496"/>
    <w:bookmarkEnd w:id="497"/>
    <w:bookmarkEnd w:id="498"/>
    <w:p w14:paraId="6D7CA211">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不利物质条件是指有经验的承包人在施工现场遇到的不可预见的自然物质条件、非自然的物质障碍和污染物，包括地表以下物质条件和水文条件以及专用合同条款约定的其他情形，但不包括气候条件。</w:t>
      </w:r>
    </w:p>
    <w:p w14:paraId="69491658">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承包人遇到不利物质条件时，应采取克服不利物质条件的合理措施继续施工，并及时通知发包人和监理人。通知应载明不利物质条件的内容以及承包人认为不可预见的理由。监理人经发包人同意后应当及时发出指示，指示构成变更的，按第10条〔变更〕约定执行。承包人因采取合理措施而增加的费用和（或）延误的工期由发包人承担。</w:t>
      </w:r>
    </w:p>
    <w:p w14:paraId="2D82A913">
      <w:pPr>
        <w:pStyle w:val="7"/>
        <w:spacing w:before="0" w:beforeAutospacing="0" w:after="0" w:afterAutospacing="0" w:line="360" w:lineRule="auto"/>
        <w:ind w:firstLine="422" w:firstLineChars="200"/>
        <w:rPr>
          <w:color w:val="auto"/>
          <w:sz w:val="21"/>
          <w:szCs w:val="21"/>
          <w:highlight w:val="none"/>
        </w:rPr>
      </w:pPr>
      <w:bookmarkStart w:id="501" w:name="_Toc351203549"/>
      <w:bookmarkStart w:id="502" w:name="_Toc532377235"/>
      <w:r>
        <w:rPr>
          <w:rFonts w:hint="eastAsia"/>
          <w:color w:val="auto"/>
          <w:sz w:val="21"/>
          <w:szCs w:val="21"/>
          <w:highlight w:val="none"/>
        </w:rPr>
        <w:t>7</w:t>
      </w:r>
      <w:bookmarkStart w:id="503" w:name="_Toc296346576"/>
      <w:bookmarkStart w:id="504" w:name="_Toc337558774"/>
      <w:bookmarkStart w:id="505" w:name="_Toc296503075"/>
      <w:r>
        <w:rPr>
          <w:rFonts w:hint="eastAsia"/>
          <w:color w:val="auto"/>
          <w:sz w:val="21"/>
          <w:szCs w:val="21"/>
          <w:highlight w:val="none"/>
        </w:rPr>
        <w:t>.7 异常恶劣的气候条件</w:t>
      </w:r>
      <w:bookmarkEnd w:id="501"/>
      <w:bookmarkEnd w:id="502"/>
    </w:p>
    <w:bookmarkEnd w:id="503"/>
    <w:bookmarkEnd w:id="504"/>
    <w:bookmarkEnd w:id="505"/>
    <w:p w14:paraId="10FCB6C4">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异常恶劣的气候条件是指在施工过程中遇到的，有经验的承包人在签订合同时不可预见的，对合同履行造成实质性影响的，但尚未构成不可抗力事件的恶劣气候条件。合同当事人可以在专用合同条款中约定异常恶劣的气候条件的具体情形。</w:t>
      </w:r>
    </w:p>
    <w:p w14:paraId="307A1D3E">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承包人应采取克服异常恶劣的气候条件的合理措施继续施工，并及时通知发包人和监理人。监理人经发包人同意后应当及时发出指示，指示构成变更的，按第10条〔变更〕约定办理。承包人因采取合理措施而增加的费用和（或）延误的工期由发包人承担。</w:t>
      </w:r>
      <w:bookmarkStart w:id="506" w:name="_Toc351203550"/>
    </w:p>
    <w:p w14:paraId="10AC0838">
      <w:pPr>
        <w:pStyle w:val="7"/>
        <w:spacing w:before="0" w:beforeAutospacing="0" w:after="0" w:afterAutospacing="0" w:line="360" w:lineRule="auto"/>
        <w:ind w:firstLine="422" w:firstLineChars="200"/>
        <w:rPr>
          <w:color w:val="auto"/>
          <w:sz w:val="21"/>
          <w:szCs w:val="21"/>
          <w:highlight w:val="none"/>
        </w:rPr>
      </w:pPr>
      <w:bookmarkStart w:id="507" w:name="_Toc532377236"/>
      <w:r>
        <w:rPr>
          <w:rFonts w:hint="eastAsia"/>
          <w:color w:val="auto"/>
          <w:sz w:val="21"/>
          <w:szCs w:val="21"/>
          <w:highlight w:val="none"/>
        </w:rPr>
        <w:t>7</w:t>
      </w:r>
      <w:bookmarkStart w:id="508" w:name="_Toc337558775"/>
      <w:r>
        <w:rPr>
          <w:rFonts w:hint="eastAsia"/>
          <w:color w:val="auto"/>
          <w:sz w:val="21"/>
          <w:szCs w:val="21"/>
          <w:highlight w:val="none"/>
        </w:rPr>
        <w:t>.8 暂停施工</w:t>
      </w:r>
      <w:bookmarkEnd w:id="506"/>
      <w:bookmarkEnd w:id="507"/>
    </w:p>
    <w:bookmarkEnd w:id="499"/>
    <w:bookmarkEnd w:id="500"/>
    <w:bookmarkEnd w:id="508"/>
    <w:p w14:paraId="5877284A">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7.8.1发包人原因引起的暂停施工</w:t>
      </w:r>
    </w:p>
    <w:p w14:paraId="6B2F1A33">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因发包人原因引起暂停施工的，监理人经发包人同意后，应及时下达暂停施工指示。情况紧急且监理人未及时下达暂停施工指示的，按照第7.8.4项〔紧急情况下的暂停施工〕执行。</w:t>
      </w:r>
    </w:p>
    <w:p w14:paraId="1CE0BA18">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因发包人原因引起的暂停施工，发包人应承担由此增加的费用和（或）延误的工期，并支付承包人合理的利润。</w:t>
      </w:r>
    </w:p>
    <w:p w14:paraId="435C4CB1">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7.8.2 承包人原因引起的暂停施工</w:t>
      </w:r>
    </w:p>
    <w:p w14:paraId="621C75C5">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因承包人原因引起的暂停施工，承包人应承担由此增加的费用和（或）延误的工期，且承包人在收到监理人复工指示后84天内仍未复工的，视为第16.2.1项〔承包人违约的情形〕第（7）目约定的承包人无法继续履行合同的情形。</w:t>
      </w:r>
    </w:p>
    <w:p w14:paraId="229B5125">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7.8.3 指示暂停施工</w:t>
      </w:r>
    </w:p>
    <w:p w14:paraId="5CBB0AA1">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监理人认为有必要时，并经发包人批准后，可向承包人作出暂停施工的指示，承包人应按监理人指示暂停施工。</w:t>
      </w:r>
    </w:p>
    <w:p w14:paraId="1F8A2C52">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7.8.4 紧急情况下的暂停施工</w:t>
      </w:r>
    </w:p>
    <w:p w14:paraId="39FEA161">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因紧急情况需暂停施工，且监理人未及时下达暂停施工指示的，承包人可先暂停施工，并及时通知监理人。监理人应在接到通知后24小时内发出指示，逾期未发出指示，视为同意承包人暂停施工。监理人不同意承包人暂停施工的，应说明理由，承包人对监理人的答复有异议，按照第20条〔争议解决〕约定处理。</w:t>
      </w:r>
    </w:p>
    <w:p w14:paraId="645A1A2D">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7.8.5 暂停施工后的复工</w:t>
      </w:r>
    </w:p>
    <w:p w14:paraId="58B231C6">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暂停施工后，发包人和承包人应采取有效措施积极消除暂停施工的影响。在工程复工前，监理人会同发包人和承包人确定因暂停施工造成的损失，并确定工程复工条件。当工程具备复工条件时，监理人应经发包人批准后向承包人发出复工通知，承包人应按照复工通知要求复工。</w:t>
      </w:r>
    </w:p>
    <w:p w14:paraId="1FFE4610">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承包人无故拖延和拒绝复工的，承包人承担由此增加的费用和（或）延误的工期；因发包人原因无法按时复工的，按照第7.5.1项〔因发包人原因导致工期延误〕约定办理。</w:t>
      </w:r>
    </w:p>
    <w:p w14:paraId="5FB97EA9">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7.8.6 暂停施工持续56天以上</w:t>
      </w:r>
    </w:p>
    <w:p w14:paraId="565AEAE1">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监理人发出暂停施工指示后56天内未向承包人发出复工通知，除该项停工属于第7.8.2项〔承包人原因引起的暂停施工〕及第17条〔不可抗力〕约定的情形外，承包人可向发包人提交书面通知，要求发包人在收到书面通知后28天内准许已暂停施工的部分或全部工程继续施工。发包人逾期不予批准的，则承包人可以通知发包人，将工程受影响的部分视为按第10.1款〔变更的范围〕第（2）项的可取消工作。</w:t>
      </w:r>
    </w:p>
    <w:p w14:paraId="1F3C7FBD">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暂停施工持续84天以上不复工的，且不属于第7.8.2项〔承包人原因引起的暂停施工〕及第17条〔不可抗力〕约定的情形，并影响到整个工程以及合同目的实现的，承包人有权提出价格调整要求，或者解除合同。解除合同的，按照第16.1.3项〔因发包人违约解除合同〕执行。</w:t>
      </w:r>
    </w:p>
    <w:p w14:paraId="26CBBDBD">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7.8.7 暂停施工期间的工程照管</w:t>
      </w:r>
    </w:p>
    <w:p w14:paraId="4C243BC6">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暂停施工期间，承包人应负责妥善照管工程并提供安全保障，由此增加的费用由责任方承担。</w:t>
      </w:r>
    </w:p>
    <w:p w14:paraId="3FB33B8A">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7.8.8 暂停施工的措施</w:t>
      </w:r>
    </w:p>
    <w:p w14:paraId="35FF34F6">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暂停施工期间，发包人和承包人均应采取必要的措施确保工程质量及安全，防止因暂停施工扩大损失。</w:t>
      </w:r>
    </w:p>
    <w:p w14:paraId="451A7C34">
      <w:pPr>
        <w:pStyle w:val="7"/>
        <w:spacing w:before="0" w:beforeAutospacing="0" w:after="0" w:afterAutospacing="0" w:line="360" w:lineRule="auto"/>
        <w:ind w:firstLine="422" w:firstLineChars="200"/>
        <w:rPr>
          <w:color w:val="auto"/>
          <w:sz w:val="21"/>
          <w:szCs w:val="21"/>
          <w:highlight w:val="none"/>
        </w:rPr>
      </w:pPr>
      <w:bookmarkStart w:id="509" w:name="_Toc351203551"/>
      <w:bookmarkStart w:id="510" w:name="_Toc532377237"/>
      <w:r>
        <w:rPr>
          <w:rFonts w:hint="eastAsia"/>
          <w:color w:val="auto"/>
          <w:sz w:val="21"/>
          <w:szCs w:val="21"/>
          <w:highlight w:val="none"/>
        </w:rPr>
        <w:t>7.9提前竣工</w:t>
      </w:r>
      <w:bookmarkEnd w:id="509"/>
      <w:bookmarkEnd w:id="510"/>
    </w:p>
    <w:p w14:paraId="15CFF2AC">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7.9.1 发包人要求承包人提前竣工的，发包人应通过监理人向承包人下达提前竣工指示，承包人应向发包人和监理人提交提前竣工建议书，提前竣工建议书应包括实施的方案、缩短的时间、增加的合同价格等内容。发包人接受该提前竣工建议书的，监理人应与发包人和承包人协商采取加快工程进度的措施，并修订施工进度计划，由此增加的费用由发包人承担。承包人认为提前竣工指示无法执行的，应向监理人和发包人提出书面异议，发包人和监理人应在收到异议后7天内予以答复。任何情况下，发包人不得压缩合理工期。</w:t>
      </w:r>
    </w:p>
    <w:p w14:paraId="3D31A414">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7.9.2 发包人要求承包人提前竣工，或承包人提出提前竣工的建议能够给发包人带来效益的，合同当事人可以在专用合同条款中约定提前竣工的奖励。</w:t>
      </w:r>
    </w:p>
    <w:p w14:paraId="77A41F5F">
      <w:pPr>
        <w:pStyle w:val="6"/>
        <w:keepNext/>
        <w:keepLines/>
        <w:spacing w:before="120" w:beforeLines="50" w:after="120" w:afterLines="50" w:line="360" w:lineRule="auto"/>
        <w:jc w:val="both"/>
        <w:rPr>
          <w:bCs/>
          <w:color w:val="auto"/>
          <w:szCs w:val="21"/>
          <w:highlight w:val="none"/>
        </w:rPr>
      </w:pPr>
      <w:bookmarkStart w:id="511" w:name="_Toc532375594"/>
      <w:bookmarkStart w:id="512" w:name="_Toc351203552"/>
      <w:bookmarkStart w:id="513" w:name="_Toc532377238"/>
      <w:r>
        <w:rPr>
          <w:rFonts w:hint="eastAsia"/>
          <w:color w:val="auto"/>
          <w:szCs w:val="21"/>
          <w:highlight w:val="none"/>
        </w:rPr>
        <w:t>8</w:t>
      </w:r>
      <w:bookmarkStart w:id="514" w:name="_Toc296503058"/>
      <w:bookmarkStart w:id="515" w:name="_Toc337558776"/>
      <w:bookmarkStart w:id="516" w:name="_Toc296346559"/>
      <w:r>
        <w:rPr>
          <w:rFonts w:hint="eastAsia"/>
          <w:color w:val="auto"/>
          <w:szCs w:val="21"/>
          <w:highlight w:val="none"/>
        </w:rPr>
        <w:t>. 材料与设备</w:t>
      </w:r>
      <w:bookmarkEnd w:id="511"/>
      <w:bookmarkEnd w:id="512"/>
      <w:bookmarkEnd w:id="513"/>
    </w:p>
    <w:bookmarkEnd w:id="514"/>
    <w:bookmarkEnd w:id="515"/>
    <w:bookmarkEnd w:id="516"/>
    <w:p w14:paraId="404B99B3">
      <w:pPr>
        <w:pStyle w:val="7"/>
        <w:spacing w:before="0" w:beforeAutospacing="0" w:after="0" w:afterAutospacing="0" w:line="360" w:lineRule="auto"/>
        <w:ind w:firstLine="422" w:firstLineChars="200"/>
        <w:rPr>
          <w:color w:val="auto"/>
          <w:sz w:val="21"/>
          <w:szCs w:val="21"/>
          <w:highlight w:val="none"/>
        </w:rPr>
      </w:pPr>
      <w:bookmarkStart w:id="517" w:name="_Toc532377239"/>
      <w:bookmarkStart w:id="518" w:name="_Toc351203553"/>
      <w:r>
        <w:rPr>
          <w:rFonts w:hint="eastAsia"/>
          <w:color w:val="auto"/>
          <w:sz w:val="21"/>
          <w:szCs w:val="21"/>
          <w:highlight w:val="none"/>
        </w:rPr>
        <w:t>8</w:t>
      </w:r>
      <w:bookmarkStart w:id="519" w:name="_Toc337558777"/>
      <w:bookmarkStart w:id="520" w:name="_Toc296346560"/>
      <w:bookmarkStart w:id="521" w:name="_Toc296503059"/>
      <w:bookmarkStart w:id="522" w:name="_Toc468936960"/>
      <w:r>
        <w:rPr>
          <w:rFonts w:hint="eastAsia"/>
          <w:color w:val="auto"/>
          <w:sz w:val="21"/>
          <w:szCs w:val="21"/>
          <w:highlight w:val="none"/>
        </w:rPr>
        <w:t>.1发包人供应材料与工程设备</w:t>
      </w:r>
      <w:bookmarkEnd w:id="517"/>
      <w:bookmarkEnd w:id="518"/>
    </w:p>
    <w:bookmarkEnd w:id="519"/>
    <w:bookmarkEnd w:id="520"/>
    <w:bookmarkEnd w:id="521"/>
    <w:p w14:paraId="2201562A">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发包人自行供应材料、工程设备的，应在签订合同时在专用合同条款的附件《发包人供应材料设备一览表》中明确材料、工程设备的品种、规格、型号、数量、单价、质量等级和送达地点。</w:t>
      </w:r>
    </w:p>
    <w:p w14:paraId="043DC1F3">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承包人应提前30天通过监理人以书面形式通知发包人供应材料与工程设备进场。承包人按照第7.2.2项〔施工进度计划的修订〕约定修订施工进度计划时，需同时提交经修订后的发包人供应材料与工程设备的进场计划。</w:t>
      </w:r>
    </w:p>
    <w:p w14:paraId="36DCAC3F">
      <w:pPr>
        <w:pStyle w:val="7"/>
        <w:spacing w:before="0" w:beforeAutospacing="0" w:after="0" w:afterAutospacing="0" w:line="360" w:lineRule="auto"/>
        <w:ind w:firstLine="422" w:firstLineChars="200"/>
        <w:rPr>
          <w:color w:val="auto"/>
          <w:sz w:val="21"/>
          <w:szCs w:val="21"/>
          <w:highlight w:val="none"/>
        </w:rPr>
      </w:pPr>
      <w:bookmarkStart w:id="523" w:name="_Toc532377240"/>
      <w:r>
        <w:rPr>
          <w:rFonts w:hint="eastAsia"/>
          <w:color w:val="auto"/>
          <w:sz w:val="21"/>
          <w:szCs w:val="21"/>
          <w:highlight w:val="none"/>
        </w:rPr>
        <w:t>8.2承包人采购材料与工程设备</w:t>
      </w:r>
      <w:bookmarkEnd w:id="523"/>
    </w:p>
    <w:p w14:paraId="06D23725">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承包人负责采购材料、工程设备的，应按照设计和有关标准要求采购，并提供产品合格证明及出厂证明，对材料、工程设备质量负责。合同约定由承包人采购的材料、工程设备，发包人不得指定生产厂家或供应商，发包人违反本款约定指定生产厂家或供应商的，承包人有权拒绝，并由发包人承担相应责任。</w:t>
      </w:r>
    </w:p>
    <w:p w14:paraId="371F0B3C">
      <w:pPr>
        <w:pStyle w:val="7"/>
        <w:spacing w:before="0" w:beforeAutospacing="0" w:after="0" w:afterAutospacing="0" w:line="360" w:lineRule="auto"/>
        <w:ind w:firstLine="422" w:firstLineChars="200"/>
        <w:rPr>
          <w:color w:val="auto"/>
          <w:sz w:val="21"/>
          <w:szCs w:val="21"/>
          <w:highlight w:val="none"/>
        </w:rPr>
      </w:pPr>
      <w:bookmarkStart w:id="524" w:name="_Toc351203555"/>
      <w:bookmarkStart w:id="525" w:name="_Toc532377241"/>
      <w:r>
        <w:rPr>
          <w:rFonts w:hint="eastAsia"/>
          <w:color w:val="auto"/>
          <w:sz w:val="21"/>
          <w:szCs w:val="21"/>
          <w:highlight w:val="none"/>
        </w:rPr>
        <w:t>8</w:t>
      </w:r>
      <w:bookmarkStart w:id="526" w:name="_Toc337558779"/>
      <w:bookmarkStart w:id="527" w:name="_Toc296346562"/>
      <w:bookmarkStart w:id="528" w:name="_Toc296503061"/>
      <w:r>
        <w:rPr>
          <w:rFonts w:hint="eastAsia"/>
          <w:color w:val="auto"/>
          <w:sz w:val="21"/>
          <w:szCs w:val="21"/>
          <w:highlight w:val="none"/>
        </w:rPr>
        <w:t>.3材料与工程设备的接收与拒收</w:t>
      </w:r>
      <w:bookmarkEnd w:id="524"/>
      <w:bookmarkEnd w:id="525"/>
    </w:p>
    <w:bookmarkEnd w:id="526"/>
    <w:bookmarkEnd w:id="527"/>
    <w:bookmarkEnd w:id="528"/>
    <w:p w14:paraId="6087BC91">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8.3.1 发包人应按《发包人供应材料设备一览表》约定的内容提供材料和工程设备，并向承包人提供产品合格证明及出厂证明，对其质量负责。发包人应提前24小时以书面形式通知承包人、监理人材料和工程设备到货时间，承包人负责材料和工程设备的清点、检验和接收。</w:t>
      </w:r>
    </w:p>
    <w:p w14:paraId="59D3076B">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发包人提供的材料和工程设备的规格、数量或质量不符合合同约定的，或因发包人原因导致交货日期延误或交货地点变更等情况的，按照第16.1款〔发包人违约〕约定办理。</w:t>
      </w:r>
    </w:p>
    <w:p w14:paraId="7D5422EA">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8.3.2 承包人采购的材料和工程设备，应保证产品质量合格，承包人应在材料和工程设备到货前24小时通知监理人检验。承</w:t>
      </w:r>
      <w:bookmarkStart w:id="529" w:name="_Toc250655469"/>
      <w:r>
        <w:rPr>
          <w:rFonts w:hint="eastAsia" w:ascii="宋体" w:hAnsi="宋体"/>
          <w:color w:val="auto"/>
          <w:kern w:val="0"/>
          <w:szCs w:val="21"/>
          <w:highlight w:val="none"/>
        </w:rPr>
        <w:t>包人进行永久设备、材料的制造和生产的，应符合相关质量标准，并向监理人提交材料的样本以及有关资料，并应在使用该材料或工程设备之前获得监理人同意。</w:t>
      </w:r>
    </w:p>
    <w:bookmarkEnd w:id="529"/>
    <w:p w14:paraId="22B697A5">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 xml:space="preserve"> 承包人采购的材料和工程设备不符合设计或有关标准要求时，承包人应在监理人要求的合理期限内将不符合设计或有关标准要求的材料、工程设备运出施工现场，并重新采购符合要求的材料、工程设备，由此增加的费用和（或）延误的工期，由承包人承担。</w:t>
      </w:r>
    </w:p>
    <w:p w14:paraId="33290A45">
      <w:pPr>
        <w:pStyle w:val="7"/>
        <w:spacing w:before="0" w:beforeAutospacing="0" w:after="0" w:afterAutospacing="0" w:line="360" w:lineRule="auto"/>
        <w:ind w:firstLine="422" w:firstLineChars="200"/>
        <w:rPr>
          <w:color w:val="auto"/>
          <w:sz w:val="21"/>
          <w:szCs w:val="21"/>
          <w:highlight w:val="none"/>
        </w:rPr>
      </w:pPr>
      <w:bookmarkStart w:id="530" w:name="_Toc351203556"/>
      <w:bookmarkStart w:id="531" w:name="_Toc532377242"/>
      <w:r>
        <w:rPr>
          <w:rFonts w:hint="eastAsia"/>
          <w:color w:val="auto"/>
          <w:sz w:val="21"/>
          <w:szCs w:val="21"/>
          <w:highlight w:val="none"/>
        </w:rPr>
        <w:t>8</w:t>
      </w:r>
      <w:bookmarkStart w:id="532" w:name="_Toc296346563"/>
      <w:bookmarkStart w:id="533" w:name="_Toc296503062"/>
      <w:bookmarkStart w:id="534" w:name="_Toc337558780"/>
      <w:r>
        <w:rPr>
          <w:rFonts w:hint="eastAsia"/>
          <w:color w:val="auto"/>
          <w:sz w:val="21"/>
          <w:szCs w:val="21"/>
          <w:highlight w:val="none"/>
        </w:rPr>
        <w:t>.4材料与工程设备的保管与使用</w:t>
      </w:r>
      <w:bookmarkEnd w:id="530"/>
      <w:bookmarkEnd w:id="531"/>
    </w:p>
    <w:bookmarkEnd w:id="532"/>
    <w:bookmarkEnd w:id="533"/>
    <w:bookmarkEnd w:id="534"/>
    <w:p w14:paraId="631BBCB3">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8.4.1 发包人供应材料与工程设备的保管与使用</w:t>
      </w:r>
    </w:p>
    <w:p w14:paraId="2575FD66">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发包人供应的材料和工程设备，承包人清点后由承包人妥善保管，保管费用由发包人承担，但已标价工程量清单或预算书已经列支或专用合同条款另有约定除外。因承包人原因发生丢失毁损的，由承包人负责赔偿；监理人未通知承包人清点的，承包人不负责材料和工程设备的保管，由此导致丢失毁损的由发包人负责。</w:t>
      </w:r>
    </w:p>
    <w:p w14:paraId="69094376">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发包人供应的材料和工程设备使用前，由承包人负责检验，检验费用由发包人承担，不合格的不得使用。</w:t>
      </w:r>
    </w:p>
    <w:p w14:paraId="6A054EF1">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8.4.2 承包人采购材料与工程设备的保管与使用</w:t>
      </w:r>
    </w:p>
    <w:p w14:paraId="55F6D537">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承包人采购的材料和工程设备由承包人妥善保管，保管费用由承包人承担。法律规定材料和工程设备使用前必须进行检验或试验的，承包人应按监理人的要求进行检验或试验，检验或试验费用由承包人承担，不合格的不得使用。</w:t>
      </w:r>
    </w:p>
    <w:p w14:paraId="0C7BAF0A">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发包人或监理人发现承包人使用不符合设计或有关标准要求的材料和工程设备时，有权要求承包人进行修复、拆除或重新采购，由此增加的费用和（或）延误的工期，由承包人承担。</w:t>
      </w:r>
    </w:p>
    <w:p w14:paraId="2EA09750">
      <w:pPr>
        <w:pStyle w:val="7"/>
        <w:spacing w:before="0" w:beforeAutospacing="0" w:after="0" w:afterAutospacing="0" w:line="360" w:lineRule="auto"/>
        <w:ind w:firstLine="422" w:firstLineChars="200"/>
        <w:rPr>
          <w:color w:val="auto"/>
          <w:sz w:val="21"/>
          <w:szCs w:val="21"/>
          <w:highlight w:val="none"/>
        </w:rPr>
      </w:pPr>
      <w:bookmarkStart w:id="535" w:name="_Toc351203557"/>
      <w:bookmarkStart w:id="536" w:name="_Toc532377243"/>
      <w:r>
        <w:rPr>
          <w:rFonts w:hint="eastAsia"/>
          <w:color w:val="auto"/>
          <w:sz w:val="21"/>
          <w:szCs w:val="21"/>
          <w:highlight w:val="none"/>
        </w:rPr>
        <w:t>8.5禁止使用不合格的材料和工程设备</w:t>
      </w:r>
      <w:bookmarkEnd w:id="535"/>
      <w:bookmarkEnd w:id="536"/>
    </w:p>
    <w:p w14:paraId="541A6914">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8.5.1 监理人有权拒绝承包人提供的不合格材料或工程设备，并要求承包人立即进行更换。监理人应在更换后再次进行检查和检验，由此增加的费用和（或）延误的工期由承包人承担。</w:t>
      </w:r>
    </w:p>
    <w:p w14:paraId="351BD235">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8.5.2 监理人发现承包人使用了不合格的材料和工程设备，承包人应按照监理人的指示立即改正，并禁止在工程中继续使用不合格的材料和工程设备。</w:t>
      </w:r>
    </w:p>
    <w:p w14:paraId="3A5EAA76">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8.5.3 发包人提供的材料或工程设备不符合合同要求的，承包人有权拒绝，并可要求发包人更换，由此增加的费用和（或）延误的工期由发包人承担，并支付承包人合理的利润。</w:t>
      </w:r>
    </w:p>
    <w:p w14:paraId="1268A6D4">
      <w:pPr>
        <w:pStyle w:val="7"/>
        <w:spacing w:before="0" w:beforeAutospacing="0" w:after="0" w:afterAutospacing="0" w:line="360" w:lineRule="auto"/>
        <w:ind w:firstLine="422" w:firstLineChars="200"/>
        <w:rPr>
          <w:color w:val="auto"/>
          <w:sz w:val="21"/>
          <w:szCs w:val="21"/>
          <w:highlight w:val="none"/>
        </w:rPr>
      </w:pPr>
      <w:bookmarkStart w:id="537" w:name="_Toc532377244"/>
      <w:bookmarkStart w:id="538" w:name="_Toc351203558"/>
      <w:r>
        <w:rPr>
          <w:rFonts w:hint="eastAsia"/>
          <w:color w:val="auto"/>
          <w:sz w:val="21"/>
          <w:szCs w:val="21"/>
          <w:highlight w:val="none"/>
        </w:rPr>
        <w:t>8.6 样品</w:t>
      </w:r>
      <w:bookmarkEnd w:id="537"/>
      <w:bookmarkEnd w:id="538"/>
    </w:p>
    <w:p w14:paraId="764A7577">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8.6.1</w:t>
      </w:r>
      <w:r>
        <w:rPr>
          <w:rFonts w:hint="eastAsia" w:ascii="宋体" w:hAnsi="宋体"/>
          <w:color w:val="auto"/>
          <w:kern w:val="0"/>
          <w:szCs w:val="21"/>
          <w:highlight w:val="none"/>
        </w:rPr>
        <w:tab/>
      </w:r>
      <w:r>
        <w:rPr>
          <w:rFonts w:hint="eastAsia" w:ascii="宋体" w:hAnsi="宋体"/>
          <w:color w:val="auto"/>
          <w:kern w:val="0"/>
          <w:szCs w:val="21"/>
          <w:highlight w:val="none"/>
        </w:rPr>
        <w:t>样品的报送与封存</w:t>
      </w:r>
    </w:p>
    <w:p w14:paraId="7CC26A60">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需要承包人报送样品的材料或工程设备，样品的种类、名称、规格、数量等要求均应在专用合同条款中约定。样品的报送程序如下：</w:t>
      </w:r>
    </w:p>
    <w:p w14:paraId="7518C94E">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1）承包人应在计划采购前28天向监理人报送样品。承包人报送的样品均应来自供应材料的实际生产地，且提供的样品的规格、数量足以表明材料或工程设备的质量、型号、颜色、表面处理、质地、误差和其他要求的特征。</w:t>
      </w:r>
    </w:p>
    <w:p w14:paraId="1B6D1623">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2）承包人每次报送样品时应随附申报单，申报单应载明报送样品的相关数据和资料，并标明每件样品对应的图纸号，预留监理人批复意见栏。监理人应在收到承包人报送的样品后7天向承包人回复经发包人签认的样品审批意见。</w:t>
      </w:r>
    </w:p>
    <w:p w14:paraId="306252C3">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（3）经发包人和监理人审批确认的样品应按约定的方法封样，封存的样品作为检验工程相关部分的标准之一。承包人在施工过程中不得使用与样品不符的材料或工程设备。</w:t>
      </w:r>
    </w:p>
    <w:p w14:paraId="7F7BCB95">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4）发包人和监理人对样品的审批确认仅为确认相关材料或工程设备的特征或用途，不得被理解为对合同的修改或改变，也并不减轻或免除承包人任何的责任和义务。如果封存的样品修改或改变了合同约定，合同当事人应当以书面协议予以确认。</w:t>
      </w:r>
    </w:p>
    <w:p w14:paraId="217F03D9">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8.6.2 样品的保管</w:t>
      </w:r>
    </w:p>
    <w:p w14:paraId="1BC9F98D">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经批准的样品应由监理人负责封存于现场，承包人应在现场为保存样品提供适当和固定的场所并保持适当和良好的存储环境条件。</w:t>
      </w:r>
    </w:p>
    <w:p w14:paraId="59B14487">
      <w:pPr>
        <w:pStyle w:val="7"/>
        <w:spacing w:before="0" w:beforeAutospacing="0" w:after="0" w:afterAutospacing="0" w:line="360" w:lineRule="auto"/>
        <w:ind w:firstLine="422" w:firstLineChars="200"/>
        <w:rPr>
          <w:color w:val="auto"/>
          <w:sz w:val="21"/>
          <w:szCs w:val="21"/>
          <w:highlight w:val="none"/>
        </w:rPr>
      </w:pPr>
      <w:bookmarkStart w:id="539" w:name="_Toc351203559"/>
      <w:bookmarkStart w:id="540" w:name="_Toc532377245"/>
      <w:r>
        <w:rPr>
          <w:rFonts w:hint="eastAsia"/>
          <w:color w:val="auto"/>
          <w:sz w:val="21"/>
          <w:szCs w:val="21"/>
          <w:highlight w:val="none"/>
        </w:rPr>
        <w:t>8.7材料与工程设备的替代</w:t>
      </w:r>
      <w:bookmarkEnd w:id="539"/>
      <w:bookmarkEnd w:id="540"/>
    </w:p>
    <w:p w14:paraId="0A3031B5">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8.7.1 出现下列情况需要使用替代材料和工程设备的，承包人应按照第8.7.2项约定的程序执行：</w:t>
      </w:r>
    </w:p>
    <w:p w14:paraId="3F4BC133">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（1）基准日期后生效的法律规定禁止使用的；</w:t>
      </w:r>
    </w:p>
    <w:p w14:paraId="54E1CB96">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（2）发包人要求使用替代品的；</w:t>
      </w:r>
    </w:p>
    <w:p w14:paraId="101DA7BF">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（3）因其他原因必须使用替代品的。</w:t>
      </w:r>
    </w:p>
    <w:p w14:paraId="5C878672">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8.7.2 承包人应在使用替代材料和工程设备28天前书面通知监理人，并附下列文件：</w:t>
      </w:r>
    </w:p>
    <w:p w14:paraId="26E38A8B">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（1）被替代的材料和工程设备的名称、数量、规格、型号、品牌、性能、价格及其他相关资料；</w:t>
      </w:r>
    </w:p>
    <w:p w14:paraId="3E22F393">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（2）替代品的名称、数量、规格、型号、品牌、性能、价格及其他相关资料；</w:t>
      </w:r>
    </w:p>
    <w:p w14:paraId="21AFC1C6">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（3）替代品与被替代产品之间的差异以及使用替代品可能对工程产生的影响；</w:t>
      </w:r>
    </w:p>
    <w:p w14:paraId="25BB46F9">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（4）替代品与被替代产品的价格差异；</w:t>
      </w:r>
    </w:p>
    <w:p w14:paraId="7A6BD01A">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（5）使用替代品的理由和原因说明；</w:t>
      </w:r>
    </w:p>
    <w:p w14:paraId="71D593CA">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（6）监理人要求的其他文件。</w:t>
      </w:r>
    </w:p>
    <w:p w14:paraId="5621601D">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监理人应在收到通知后14天内向承包人发出经发包人签认的书面指示；监理人逾期发出书面指示的，视为发包人和监理人同意使用替代品。</w:t>
      </w:r>
    </w:p>
    <w:p w14:paraId="04D1042C">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8.7.3 发包人认可使用替代材料和工程设备的，替代材料和工程设备的价格，按照已标价工程量清单或预算书相同项目的价格认定；无相同项目的，参考相似项目价格认定；既无相同项目也无相似项目的，按照合理的成本与利润构成的原则，由合同当事人按照第4.4款〔商定或确定〕确定价格。</w:t>
      </w:r>
    </w:p>
    <w:p w14:paraId="05D6A201">
      <w:pPr>
        <w:pStyle w:val="7"/>
        <w:spacing w:before="0" w:beforeAutospacing="0" w:after="0" w:afterAutospacing="0" w:line="360" w:lineRule="auto"/>
        <w:ind w:firstLine="422" w:firstLineChars="200"/>
        <w:rPr>
          <w:color w:val="auto"/>
          <w:sz w:val="21"/>
          <w:szCs w:val="21"/>
          <w:highlight w:val="none"/>
        </w:rPr>
      </w:pPr>
      <w:bookmarkStart w:id="541" w:name="_Toc532377246"/>
      <w:bookmarkStart w:id="542" w:name="_Toc351203560"/>
      <w:r>
        <w:rPr>
          <w:rFonts w:hint="eastAsia"/>
          <w:color w:val="auto"/>
          <w:sz w:val="21"/>
          <w:szCs w:val="21"/>
          <w:highlight w:val="none"/>
        </w:rPr>
        <w:t>8.8施工设备和临时设施</w:t>
      </w:r>
      <w:bookmarkEnd w:id="541"/>
      <w:bookmarkEnd w:id="542"/>
    </w:p>
    <w:p w14:paraId="247D417F">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8.8.1 承包人提供的施工设备和临时设施</w:t>
      </w:r>
    </w:p>
    <w:p w14:paraId="7D18848A">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承包人应按合同进度计划的要求，及时配置施工设备和修建临时设施。进入施工场地的承包人设备需经监理人核查后才能投入使用。承包人更换合同约定的承包人设备的，应报监理人批准。</w:t>
      </w:r>
    </w:p>
    <w:p w14:paraId="14230181">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除专用合同条款另有约定外，承包人应自行承担修建临时设施的费用，需要临时占地的，应由发包人办理申请手续并承担相应费用。</w:t>
      </w:r>
    </w:p>
    <w:p w14:paraId="6B844FB8">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8.8.2发包人提供的施工设备和临时设施</w:t>
      </w:r>
    </w:p>
    <w:p w14:paraId="5779D229">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发包人提供的施工设备或临时设施在专用合同条款中约定。</w:t>
      </w:r>
    </w:p>
    <w:p w14:paraId="2BE8B21B">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8.8.3要求承包人增加或更换施工设备</w:t>
      </w:r>
    </w:p>
    <w:p w14:paraId="7C5B5953">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承包人使用的施工设备不能满足合同进度计划和（或）质量要求时，监理人有权要求承包人增加或更换施工设备，承包人应及时增加或更换，由此增加的费用和（或）延误的工期由承包人承担。</w:t>
      </w:r>
    </w:p>
    <w:p w14:paraId="44A8A213">
      <w:pPr>
        <w:pStyle w:val="7"/>
        <w:spacing w:before="0" w:beforeAutospacing="0" w:after="0" w:afterAutospacing="0" w:line="360" w:lineRule="auto"/>
        <w:ind w:firstLine="422" w:firstLineChars="200"/>
        <w:rPr>
          <w:color w:val="auto"/>
          <w:sz w:val="21"/>
          <w:szCs w:val="21"/>
          <w:highlight w:val="none"/>
        </w:rPr>
      </w:pPr>
      <w:bookmarkStart w:id="543" w:name="_Toc351203561"/>
      <w:bookmarkStart w:id="544" w:name="_Toc532377247"/>
      <w:r>
        <w:rPr>
          <w:rFonts w:hint="eastAsia"/>
          <w:color w:val="auto"/>
          <w:sz w:val="21"/>
          <w:szCs w:val="21"/>
          <w:highlight w:val="none"/>
        </w:rPr>
        <w:t>8</w:t>
      </w:r>
      <w:bookmarkStart w:id="545" w:name="_Toc337558781"/>
      <w:bookmarkStart w:id="546" w:name="_Toc296503063"/>
      <w:bookmarkStart w:id="547" w:name="_Toc296346564"/>
      <w:r>
        <w:rPr>
          <w:rFonts w:hint="eastAsia"/>
          <w:color w:val="auto"/>
          <w:sz w:val="21"/>
          <w:szCs w:val="21"/>
          <w:highlight w:val="none"/>
        </w:rPr>
        <w:t>.9材料与设备专用</w:t>
      </w:r>
      <w:bookmarkEnd w:id="543"/>
      <w:r>
        <w:rPr>
          <w:rFonts w:hint="eastAsia"/>
          <w:color w:val="auto"/>
          <w:sz w:val="21"/>
          <w:szCs w:val="21"/>
          <w:highlight w:val="none"/>
        </w:rPr>
        <w:t>要求</w:t>
      </w:r>
      <w:bookmarkEnd w:id="544"/>
    </w:p>
    <w:bookmarkEnd w:id="545"/>
    <w:bookmarkEnd w:id="546"/>
    <w:bookmarkEnd w:id="547"/>
    <w:p w14:paraId="2BF05345">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承包人运入施工现场的材料、工程设备、施工设备以及在施工场地建设的临时设施，包括备品备件、安装工具与资料，必须专用于工程。未经发包人批准，承包人不得运出施工现场或挪作他用；</w:t>
      </w:r>
      <w:bookmarkEnd w:id="522"/>
      <w:r>
        <w:rPr>
          <w:rFonts w:hint="eastAsia" w:ascii="宋体" w:hAnsi="宋体"/>
          <w:color w:val="auto"/>
          <w:kern w:val="0"/>
          <w:szCs w:val="21"/>
          <w:highlight w:val="none"/>
        </w:rPr>
        <w:t>经发包人批准，承包人可以根据施工进度计划撤走闲置的施工设备和其他物品。</w:t>
      </w:r>
    </w:p>
    <w:p w14:paraId="30D35783">
      <w:pPr>
        <w:pStyle w:val="6"/>
        <w:keepNext/>
        <w:keepLines/>
        <w:spacing w:before="120" w:beforeLines="50" w:after="120" w:afterLines="50" w:line="360" w:lineRule="auto"/>
        <w:jc w:val="both"/>
        <w:rPr>
          <w:bCs/>
          <w:color w:val="auto"/>
          <w:szCs w:val="21"/>
          <w:highlight w:val="none"/>
        </w:rPr>
      </w:pPr>
      <w:bookmarkStart w:id="548" w:name="_Toc532377248"/>
      <w:bookmarkStart w:id="549" w:name="_Toc351203562"/>
      <w:bookmarkStart w:id="550" w:name="_Toc532375595"/>
      <w:r>
        <w:rPr>
          <w:rFonts w:hint="eastAsia"/>
          <w:color w:val="auto"/>
          <w:szCs w:val="21"/>
          <w:highlight w:val="none"/>
        </w:rPr>
        <w:t>9</w:t>
      </w:r>
      <w:bookmarkStart w:id="551" w:name="_Toc337558782"/>
      <w:bookmarkStart w:id="552" w:name="_Toc296346584"/>
      <w:bookmarkStart w:id="553" w:name="_Toc296503083"/>
      <w:r>
        <w:rPr>
          <w:rFonts w:hint="eastAsia"/>
          <w:color w:val="auto"/>
          <w:szCs w:val="21"/>
          <w:highlight w:val="none"/>
        </w:rPr>
        <w:t>. 试验与检验</w:t>
      </w:r>
      <w:bookmarkEnd w:id="548"/>
      <w:bookmarkEnd w:id="549"/>
      <w:bookmarkEnd w:id="550"/>
    </w:p>
    <w:bookmarkEnd w:id="551"/>
    <w:p w14:paraId="1876B939">
      <w:pPr>
        <w:pStyle w:val="7"/>
        <w:spacing w:before="0" w:beforeAutospacing="0" w:after="0" w:afterAutospacing="0" w:line="360" w:lineRule="auto"/>
        <w:ind w:firstLine="422" w:firstLineChars="200"/>
        <w:rPr>
          <w:color w:val="auto"/>
          <w:sz w:val="21"/>
          <w:szCs w:val="21"/>
          <w:highlight w:val="none"/>
        </w:rPr>
      </w:pPr>
      <w:bookmarkStart w:id="554" w:name="_Toc532377249"/>
      <w:bookmarkStart w:id="555" w:name="_Toc351203563"/>
      <w:r>
        <w:rPr>
          <w:rFonts w:hint="eastAsia"/>
          <w:color w:val="auto"/>
          <w:sz w:val="21"/>
          <w:szCs w:val="21"/>
          <w:highlight w:val="none"/>
        </w:rPr>
        <w:t>9</w:t>
      </w:r>
      <w:bookmarkStart w:id="556" w:name="_Toc337558783"/>
      <w:r>
        <w:rPr>
          <w:rFonts w:hint="eastAsia"/>
          <w:color w:val="auto"/>
          <w:sz w:val="21"/>
          <w:szCs w:val="21"/>
          <w:highlight w:val="none"/>
        </w:rPr>
        <w:t>.1试验设备与试验人员</w:t>
      </w:r>
      <w:bookmarkEnd w:id="554"/>
      <w:bookmarkEnd w:id="555"/>
    </w:p>
    <w:bookmarkEnd w:id="556"/>
    <w:p w14:paraId="11EC716E">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9.1.1 承包人根据合同约定或监理人指示进行的现场材料试验，应由承包人提供试验场所、试验人员、试验设备以及其他必要的试验条件。监理人在必要时可以使用承包人提供的试验场所、试验设备以及其他试验条件，进行以工程质量检查为目的的材料复核试验，承包人应予以协助。</w:t>
      </w:r>
    </w:p>
    <w:p w14:paraId="4A4A2D6D">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9.1.2 承包人应按专用合同条款的约定提供试验设备、取样装置、试验场所和试验条件，并向监理人提交相应进场计划表。</w:t>
      </w:r>
    </w:p>
    <w:p w14:paraId="5B67270B">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承包人配置的试验设备要符合相应试验规程的要求并经过具有资质的检测单位检测，且在正式使用该试验设备前，需要经过监理人与承包人共同校定。</w:t>
      </w:r>
    </w:p>
    <w:p w14:paraId="27645C63">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9.1.3 承包人应向监理人提交试验人员的名单及其岗位、资格等证明资料，试验人员必须能够熟练进行相应的检测试验，承包人对试验人员的试验程序和试验结果的正确性负责。</w:t>
      </w:r>
    </w:p>
    <w:p w14:paraId="2761976F">
      <w:pPr>
        <w:pStyle w:val="7"/>
        <w:spacing w:before="0" w:beforeAutospacing="0" w:after="0" w:afterAutospacing="0" w:line="360" w:lineRule="auto"/>
        <w:ind w:firstLine="422" w:firstLineChars="200"/>
        <w:rPr>
          <w:color w:val="auto"/>
          <w:sz w:val="21"/>
          <w:szCs w:val="21"/>
          <w:highlight w:val="none"/>
        </w:rPr>
      </w:pPr>
      <w:bookmarkStart w:id="557" w:name="_Toc532377250"/>
      <w:bookmarkStart w:id="558" w:name="_Toc351203564"/>
      <w:r>
        <w:rPr>
          <w:rFonts w:hint="eastAsia"/>
          <w:color w:val="auto"/>
          <w:sz w:val="21"/>
          <w:szCs w:val="21"/>
          <w:highlight w:val="none"/>
        </w:rPr>
        <w:t>9</w:t>
      </w:r>
      <w:bookmarkStart w:id="559" w:name="_Toc337558784"/>
      <w:r>
        <w:rPr>
          <w:rFonts w:hint="eastAsia"/>
          <w:color w:val="auto"/>
          <w:sz w:val="21"/>
          <w:szCs w:val="21"/>
          <w:highlight w:val="none"/>
        </w:rPr>
        <w:t>.2取样</w:t>
      </w:r>
      <w:bookmarkEnd w:id="557"/>
      <w:bookmarkEnd w:id="558"/>
    </w:p>
    <w:bookmarkEnd w:id="559"/>
    <w:p w14:paraId="4CA556C2">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试验属于自检性质的，承包人可以单独取样。试验属于监理人抽检性质的，可由监理人取样，也可由承包人的试验人员在监理人的监督下取样。</w:t>
      </w:r>
    </w:p>
    <w:p w14:paraId="7ECACEE3">
      <w:pPr>
        <w:pStyle w:val="7"/>
        <w:spacing w:before="0" w:beforeAutospacing="0" w:after="0" w:afterAutospacing="0" w:line="360" w:lineRule="auto"/>
        <w:ind w:firstLine="422" w:firstLineChars="200"/>
        <w:rPr>
          <w:color w:val="auto"/>
          <w:sz w:val="21"/>
          <w:szCs w:val="21"/>
          <w:highlight w:val="none"/>
        </w:rPr>
      </w:pPr>
      <w:bookmarkStart w:id="560" w:name="_Toc351203565"/>
      <w:bookmarkStart w:id="561" w:name="_Toc532377251"/>
      <w:r>
        <w:rPr>
          <w:rFonts w:hint="eastAsia"/>
          <w:color w:val="auto"/>
          <w:sz w:val="21"/>
          <w:szCs w:val="21"/>
          <w:highlight w:val="none"/>
        </w:rPr>
        <w:t>9</w:t>
      </w:r>
      <w:bookmarkStart w:id="562" w:name="_Toc337558785"/>
      <w:r>
        <w:rPr>
          <w:rFonts w:hint="eastAsia"/>
          <w:color w:val="auto"/>
          <w:sz w:val="21"/>
          <w:szCs w:val="21"/>
          <w:highlight w:val="none"/>
        </w:rPr>
        <w:t>.3材料、工程设备和工程的试验和检验</w:t>
      </w:r>
      <w:bookmarkEnd w:id="560"/>
      <w:bookmarkEnd w:id="561"/>
    </w:p>
    <w:bookmarkEnd w:id="562"/>
    <w:p w14:paraId="1849E4EE">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9.3.1承包人应按合同约定进行材料、工程设备和工程的试验和检验，并为监理人对上述材料、工程设备和工程的质量检查提供必要的试验资料和原始记录。按合同约定应由监理人与承包人共同进行试验和检验的，由承包人负责提供必要的试验资料和原始记录。</w:t>
      </w:r>
    </w:p>
    <w:p w14:paraId="236A4F33">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9.3.2试验属于自检性质的，承包人可以单独进行试验。试验属于监理人抽检性质的，监理人可以单独进行试验，也可由承包人与监理人共同进行。承包人对由监理人单独进行的试验结果有异议的，可以申请重新共同进行试验。约定共同进行试验的，监理人未按照约定参加试验的，承包人可自行试验，并将试验结果报送监理人，监理人应承认该试验结果。</w:t>
      </w:r>
    </w:p>
    <w:p w14:paraId="1A1E50F0">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9.3.3监理人对承包人的试验和检验结果有异议的，或为查清承包人试验和检验成果的可靠性要求承包人重新试验和检验的，可由监理人与承包人共同进行。重新试验和检验的结果证明该项材料、工程设备或工程的质量不符合合同要求的，由此增加的费用和（或）延误的工期由承包人承担；重新试验和检验结果证明该项材料、工程设备和工程符合合同要求的，由此增加的费用和（或）延误的工期由发包人承担。</w:t>
      </w:r>
    </w:p>
    <w:p w14:paraId="2F481DBA">
      <w:pPr>
        <w:pStyle w:val="7"/>
        <w:spacing w:before="0" w:beforeAutospacing="0" w:after="0" w:afterAutospacing="0" w:line="360" w:lineRule="auto"/>
        <w:ind w:firstLine="422" w:firstLineChars="200"/>
        <w:rPr>
          <w:color w:val="auto"/>
          <w:sz w:val="21"/>
          <w:szCs w:val="21"/>
          <w:highlight w:val="none"/>
        </w:rPr>
      </w:pPr>
      <w:bookmarkStart w:id="563" w:name="_Toc351203566"/>
      <w:bookmarkStart w:id="564" w:name="_Toc532377252"/>
      <w:r>
        <w:rPr>
          <w:rFonts w:hint="eastAsia"/>
          <w:color w:val="auto"/>
          <w:sz w:val="21"/>
          <w:szCs w:val="21"/>
          <w:highlight w:val="none"/>
        </w:rPr>
        <w:t>9</w:t>
      </w:r>
      <w:bookmarkStart w:id="565" w:name="_Toc337558786"/>
      <w:r>
        <w:rPr>
          <w:rFonts w:hint="eastAsia"/>
          <w:color w:val="auto"/>
          <w:sz w:val="21"/>
          <w:szCs w:val="21"/>
          <w:highlight w:val="none"/>
        </w:rPr>
        <w:t>.4现场工艺试验</w:t>
      </w:r>
      <w:bookmarkEnd w:id="563"/>
      <w:bookmarkEnd w:id="564"/>
    </w:p>
    <w:bookmarkEnd w:id="565"/>
    <w:p w14:paraId="2BE973D9">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承包人应按合同约定或监理人指示进行现场工艺试验。对大型的现场工艺试验，监理人认为必要时，承包人应根据监理人提出的工艺试验要求，编制工艺试验措施计划，报送监理人审查。</w:t>
      </w:r>
    </w:p>
    <w:p w14:paraId="57006531">
      <w:pPr>
        <w:pStyle w:val="6"/>
        <w:keepNext/>
        <w:keepLines/>
        <w:spacing w:before="120" w:beforeLines="50" w:after="120" w:afterLines="50" w:line="360" w:lineRule="auto"/>
        <w:jc w:val="both"/>
        <w:rPr>
          <w:bCs/>
          <w:color w:val="auto"/>
          <w:szCs w:val="21"/>
          <w:highlight w:val="none"/>
        </w:rPr>
      </w:pPr>
      <w:bookmarkStart w:id="566" w:name="_Toc532375596"/>
      <w:bookmarkStart w:id="567" w:name="_Toc351203567"/>
      <w:bookmarkStart w:id="568" w:name="_Toc532377253"/>
      <w:r>
        <w:rPr>
          <w:rFonts w:hint="eastAsia"/>
          <w:color w:val="auto"/>
          <w:szCs w:val="21"/>
          <w:highlight w:val="none"/>
        </w:rPr>
        <w:t>1</w:t>
      </w:r>
      <w:bookmarkStart w:id="569" w:name="_Toc337558787"/>
      <w:r>
        <w:rPr>
          <w:rFonts w:hint="eastAsia"/>
          <w:color w:val="auto"/>
          <w:szCs w:val="21"/>
          <w:highlight w:val="none"/>
        </w:rPr>
        <w:t>0. 变更</w:t>
      </w:r>
      <w:bookmarkEnd w:id="552"/>
      <w:bookmarkEnd w:id="553"/>
      <w:bookmarkEnd w:id="566"/>
      <w:bookmarkEnd w:id="567"/>
      <w:bookmarkEnd w:id="568"/>
    </w:p>
    <w:bookmarkEnd w:id="569"/>
    <w:p w14:paraId="739976DE">
      <w:pPr>
        <w:pStyle w:val="7"/>
        <w:spacing w:before="0" w:beforeAutospacing="0" w:after="0" w:afterAutospacing="0" w:line="360" w:lineRule="auto"/>
        <w:ind w:firstLine="422" w:firstLineChars="200"/>
        <w:rPr>
          <w:color w:val="auto"/>
          <w:sz w:val="21"/>
          <w:szCs w:val="21"/>
          <w:highlight w:val="none"/>
        </w:rPr>
      </w:pPr>
      <w:bookmarkStart w:id="570" w:name="_Toc351203568"/>
      <w:bookmarkStart w:id="571" w:name="_Toc532377254"/>
      <w:r>
        <w:rPr>
          <w:rFonts w:hint="eastAsia"/>
          <w:color w:val="auto"/>
          <w:sz w:val="21"/>
          <w:szCs w:val="21"/>
          <w:highlight w:val="none"/>
        </w:rPr>
        <w:t>1</w:t>
      </w:r>
      <w:bookmarkStart w:id="572" w:name="_Toc296503084"/>
      <w:bookmarkStart w:id="573" w:name="_Toc337558788"/>
      <w:bookmarkStart w:id="574" w:name="_Toc296346585"/>
      <w:r>
        <w:rPr>
          <w:rFonts w:hint="eastAsia"/>
          <w:color w:val="auto"/>
          <w:sz w:val="21"/>
          <w:szCs w:val="21"/>
          <w:highlight w:val="none"/>
        </w:rPr>
        <w:t>0.1变更的范围</w:t>
      </w:r>
      <w:bookmarkEnd w:id="570"/>
      <w:bookmarkEnd w:id="571"/>
    </w:p>
    <w:bookmarkEnd w:id="572"/>
    <w:bookmarkEnd w:id="573"/>
    <w:bookmarkEnd w:id="574"/>
    <w:p w14:paraId="317FBBF2">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除专用合同条款另有约定外，合同履行过程中发生以下情形的，应按照本条约定进行变更：</w:t>
      </w:r>
    </w:p>
    <w:p w14:paraId="3BF935D2">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（1）增加或减少合同中任何工作，或追加额外的工作；</w:t>
      </w:r>
    </w:p>
    <w:p w14:paraId="7D440688">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（2）取消合同中任何工作，但转由他人实施的工作除外；</w:t>
      </w:r>
    </w:p>
    <w:p w14:paraId="426D5E38">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（3）改变合同中任何工作的质量标准或其他特性；</w:t>
      </w:r>
    </w:p>
    <w:p w14:paraId="4360BE25">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（4）改变工程的基线、标高、位置和尺寸；</w:t>
      </w:r>
    </w:p>
    <w:p w14:paraId="5A7AEC79">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（5）改变工程的时间安排或实施顺序。</w:t>
      </w:r>
    </w:p>
    <w:p w14:paraId="49EEC741">
      <w:pPr>
        <w:pStyle w:val="7"/>
        <w:spacing w:before="0" w:beforeAutospacing="0" w:after="0" w:afterAutospacing="0" w:line="360" w:lineRule="auto"/>
        <w:ind w:firstLine="422" w:firstLineChars="200"/>
        <w:rPr>
          <w:color w:val="auto"/>
          <w:sz w:val="21"/>
          <w:szCs w:val="21"/>
          <w:highlight w:val="none"/>
        </w:rPr>
      </w:pPr>
      <w:bookmarkStart w:id="575" w:name="_Toc532377255"/>
      <w:r>
        <w:rPr>
          <w:rFonts w:hint="eastAsia"/>
          <w:color w:val="auto"/>
          <w:sz w:val="21"/>
          <w:szCs w:val="21"/>
          <w:highlight w:val="none"/>
        </w:rPr>
        <w:t>10.2变更权</w:t>
      </w:r>
      <w:bookmarkEnd w:id="575"/>
    </w:p>
    <w:p w14:paraId="4D37319D">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发包人和监理人均可以提出变更。变更指示均通过监理人发出，监理人发出变更指示前应征得发包人同意。承包人收到经发包人签认的变更指示后，方可实施变更。未经许可，承包人不得擅自对工程的任何部分进行变更。</w:t>
      </w:r>
    </w:p>
    <w:p w14:paraId="0405EEF4">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涉及设计变更的，应由设计人提供变更后的图纸和说明。如变更超过原设计标准或批准的建设规模时，发包人应及时办理规划、设计变更等审批手续。</w:t>
      </w:r>
    </w:p>
    <w:p w14:paraId="141D3C63">
      <w:pPr>
        <w:pStyle w:val="7"/>
        <w:spacing w:before="0" w:beforeAutospacing="0" w:after="0" w:afterAutospacing="0" w:line="360" w:lineRule="auto"/>
        <w:ind w:firstLine="422" w:firstLineChars="200"/>
        <w:rPr>
          <w:color w:val="auto"/>
          <w:sz w:val="21"/>
          <w:szCs w:val="21"/>
          <w:highlight w:val="none"/>
        </w:rPr>
      </w:pPr>
      <w:bookmarkStart w:id="576" w:name="_Toc532377256"/>
      <w:r>
        <w:rPr>
          <w:rFonts w:hint="eastAsia"/>
          <w:color w:val="auto"/>
          <w:sz w:val="21"/>
          <w:szCs w:val="21"/>
          <w:highlight w:val="none"/>
        </w:rPr>
        <w:t>10.3变更程序</w:t>
      </w:r>
      <w:bookmarkEnd w:id="576"/>
    </w:p>
    <w:p w14:paraId="4617787D">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10.3.1 发包人提出变更</w:t>
      </w:r>
    </w:p>
    <w:p w14:paraId="2ADE86E5">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发包人提出变更的，应通过监理人向承包人发出变更指示，变更指示应说明计划变更的工程范围和变更的内容。</w:t>
      </w:r>
    </w:p>
    <w:p w14:paraId="78DCA4FE">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10.3.2 监理人提出变更建议</w:t>
      </w:r>
    </w:p>
    <w:p w14:paraId="39251249">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监理人提出变更建议的，需要向发包人以书面形式提出变更计划，说明计划变更工程范围和变更的内容、理由，以及实施该变更对合同价格和工期的影响。发包人同意变更的，由监理人向承包人发出变更指示。发包人不同意变更的，监理人无权擅自发出变更指示。</w:t>
      </w:r>
    </w:p>
    <w:p w14:paraId="1FF67894">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10.3.3 变更执行</w:t>
      </w:r>
    </w:p>
    <w:p w14:paraId="0C55752A">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承包人收到监理人下达的变更指示后，认为不能执行，应立即提出不能执行该变更指示的理由。承包人认为可以执行变更的，应当书面说明实施该变更指示对合同价格和工期的影响，且合同当事人应当按照第10.4款〔变更估价〕约定确定变更估价。</w:t>
      </w:r>
    </w:p>
    <w:p w14:paraId="4E009EB9">
      <w:pPr>
        <w:pStyle w:val="7"/>
        <w:spacing w:before="0" w:beforeAutospacing="0" w:after="0" w:afterAutospacing="0" w:line="360" w:lineRule="auto"/>
        <w:ind w:firstLine="422" w:firstLineChars="200"/>
        <w:rPr>
          <w:color w:val="auto"/>
          <w:sz w:val="21"/>
          <w:szCs w:val="21"/>
          <w:highlight w:val="none"/>
        </w:rPr>
      </w:pPr>
      <w:bookmarkStart w:id="577" w:name="_Toc351203571"/>
      <w:bookmarkStart w:id="578" w:name="_Toc532377257"/>
      <w:r>
        <w:rPr>
          <w:rFonts w:hint="eastAsia"/>
          <w:color w:val="auto"/>
          <w:sz w:val="21"/>
          <w:szCs w:val="21"/>
          <w:highlight w:val="none"/>
        </w:rPr>
        <w:t>1</w:t>
      </w:r>
      <w:bookmarkStart w:id="579" w:name="_Toc296503087"/>
      <w:bookmarkStart w:id="580" w:name="_Toc296346588"/>
      <w:bookmarkStart w:id="581" w:name="_Toc337558791"/>
      <w:r>
        <w:rPr>
          <w:rFonts w:hint="eastAsia"/>
          <w:color w:val="auto"/>
          <w:sz w:val="21"/>
          <w:szCs w:val="21"/>
          <w:highlight w:val="none"/>
        </w:rPr>
        <w:t>0.4变更估价</w:t>
      </w:r>
      <w:bookmarkEnd w:id="577"/>
      <w:bookmarkEnd w:id="578"/>
    </w:p>
    <w:bookmarkEnd w:id="579"/>
    <w:bookmarkEnd w:id="580"/>
    <w:bookmarkEnd w:id="581"/>
    <w:p w14:paraId="02F4FA1C">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10.4.1 变更估价原则</w:t>
      </w:r>
    </w:p>
    <w:p w14:paraId="5073BE7D">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除专用合同条款另有约定外，变更估价按照本款约定处理：</w:t>
      </w:r>
    </w:p>
    <w:p w14:paraId="123934D6">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（1）已标价工程量清单或预算书有相同项目的，按照相同项目单价认定；</w:t>
      </w:r>
    </w:p>
    <w:p w14:paraId="7E35CB13">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（2）已标价工程量清单或预算书中无相同项目，但有类似项目的，参照类似项目的单价认定；</w:t>
      </w:r>
    </w:p>
    <w:p w14:paraId="0ABB0307">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3）变更导致实际完成的变更工程量与已标价工程量清单或预算书中列明的该项目工程量的变化幅度超过15%的，或已标价工程量清单或预算书中无相同项目及类似项目单价的，按照合理的成本与利润构成的原则，由合同当事人按照第4.4款〔商定或确定〕确定变更工作的单价。</w:t>
      </w:r>
    </w:p>
    <w:p w14:paraId="15969BAD">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10.4.2 变更估价程序</w:t>
      </w:r>
    </w:p>
    <w:p w14:paraId="53C2F210">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承包人应在收到变更指示后14天内，向监理人提交变更估价申请。监理人应在收到承包人提交的变更估价申请后7天内审查完毕并报送发包人，监理人对变更估价申请有异议，通知承包人修改后重新提交。发包人应在承包人提交变更估价申请后14天内审批完毕。发包人逾期未完成审批或未提出异议的，视为认可承包人提交的变更估价申请。</w:t>
      </w:r>
    </w:p>
    <w:p w14:paraId="50249F7A">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因变更引起的价格调整应计入最近一期的进度款中支付。</w:t>
      </w:r>
    </w:p>
    <w:p w14:paraId="11FE6540">
      <w:pPr>
        <w:pStyle w:val="7"/>
        <w:spacing w:before="0" w:beforeAutospacing="0" w:after="0" w:afterAutospacing="0" w:line="360" w:lineRule="auto"/>
        <w:ind w:firstLine="422" w:firstLineChars="200"/>
        <w:rPr>
          <w:color w:val="auto"/>
          <w:sz w:val="21"/>
          <w:szCs w:val="21"/>
          <w:highlight w:val="none"/>
        </w:rPr>
      </w:pPr>
      <w:bookmarkStart w:id="582" w:name="_Toc351203572"/>
      <w:bookmarkStart w:id="583" w:name="_Toc532377258"/>
      <w:r>
        <w:rPr>
          <w:rFonts w:hint="eastAsia"/>
          <w:color w:val="auto"/>
          <w:sz w:val="21"/>
          <w:szCs w:val="21"/>
          <w:highlight w:val="none"/>
        </w:rPr>
        <w:t>1</w:t>
      </w:r>
      <w:bookmarkStart w:id="584" w:name="_Toc296503094"/>
      <w:bookmarkStart w:id="585" w:name="_Toc296346595"/>
      <w:bookmarkStart w:id="586" w:name="_Toc337558792"/>
      <w:r>
        <w:rPr>
          <w:rFonts w:hint="eastAsia"/>
          <w:color w:val="auto"/>
          <w:sz w:val="21"/>
          <w:szCs w:val="21"/>
          <w:highlight w:val="none"/>
        </w:rPr>
        <w:t>0.5承包人的合理化建议</w:t>
      </w:r>
      <w:bookmarkEnd w:id="582"/>
      <w:bookmarkEnd w:id="583"/>
    </w:p>
    <w:bookmarkEnd w:id="584"/>
    <w:bookmarkEnd w:id="585"/>
    <w:bookmarkEnd w:id="586"/>
    <w:p w14:paraId="2CC42C7E">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承包人提出合理化建议的，应向监理人提交合理化建议说明，说明建议的内容和理由，以及实施该建议对合同价格和工期的影响。</w:t>
      </w:r>
    </w:p>
    <w:p w14:paraId="4A58D69A">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除专用合同条款另有约定外，监理人应在收到承包人提交的合理化建议后7天内审查完毕并报送发包人，发现其中存在技术上的缺陷，应通知承包人修改。发包人应在收到监理人报送的合理化建议后7天内审批完毕。合理化建议经发包人批准的，监理人应及时发出变更指示，由此引起的合同价格调整按照第10.4款〔变更估价〕约定执行。发包人不同意变更的，监理人应书面通知承包人。</w:t>
      </w:r>
    </w:p>
    <w:p w14:paraId="1A1FE12D">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合理化建议降低了合同价格或者提高了工程经济效益的，发包人可对承包人给予奖励，奖励的方法和金额在专用合同条款中约定。</w:t>
      </w:r>
    </w:p>
    <w:p w14:paraId="23CB2CA4">
      <w:pPr>
        <w:pStyle w:val="7"/>
        <w:spacing w:before="0" w:beforeAutospacing="0" w:after="0" w:afterAutospacing="0" w:line="360" w:lineRule="auto"/>
        <w:ind w:firstLine="422" w:firstLineChars="200"/>
        <w:rPr>
          <w:color w:val="auto"/>
          <w:sz w:val="21"/>
          <w:szCs w:val="21"/>
          <w:highlight w:val="none"/>
        </w:rPr>
      </w:pPr>
      <w:bookmarkStart w:id="587" w:name="_Toc532377259"/>
      <w:bookmarkStart w:id="588" w:name="_Toc351203573"/>
      <w:r>
        <w:rPr>
          <w:rFonts w:hint="eastAsia"/>
          <w:color w:val="auto"/>
          <w:sz w:val="21"/>
          <w:szCs w:val="21"/>
          <w:highlight w:val="none"/>
        </w:rPr>
        <w:t>1</w:t>
      </w:r>
      <w:bookmarkStart w:id="589" w:name="_Toc337558793"/>
      <w:r>
        <w:rPr>
          <w:rFonts w:hint="eastAsia"/>
          <w:color w:val="auto"/>
          <w:sz w:val="21"/>
          <w:szCs w:val="21"/>
          <w:highlight w:val="none"/>
        </w:rPr>
        <w:t>0.6变更引起的工期调整</w:t>
      </w:r>
      <w:bookmarkEnd w:id="587"/>
      <w:bookmarkEnd w:id="588"/>
      <w:bookmarkEnd w:id="589"/>
    </w:p>
    <w:p w14:paraId="43F8AF04">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因变更引起工期变化的，合同当事人均可要求调整合同工期，由合同当事人按照第4.4款〔商定或确定〕并参考工程所在地的工期定额标准确定增减工期天数。</w:t>
      </w:r>
    </w:p>
    <w:p w14:paraId="6460DF19">
      <w:pPr>
        <w:pStyle w:val="7"/>
        <w:spacing w:before="0" w:beforeAutospacing="0" w:after="0" w:afterAutospacing="0" w:line="360" w:lineRule="auto"/>
        <w:ind w:firstLine="422" w:firstLineChars="200"/>
        <w:rPr>
          <w:color w:val="auto"/>
          <w:sz w:val="21"/>
          <w:szCs w:val="21"/>
          <w:highlight w:val="none"/>
        </w:rPr>
      </w:pPr>
      <w:bookmarkStart w:id="590" w:name="_Toc532377260"/>
      <w:bookmarkStart w:id="591" w:name="_Toc351203574"/>
      <w:r>
        <w:rPr>
          <w:rFonts w:hint="eastAsia"/>
          <w:color w:val="auto"/>
          <w:sz w:val="21"/>
          <w:szCs w:val="21"/>
          <w:highlight w:val="none"/>
        </w:rPr>
        <w:t>10.7暂估价</w:t>
      </w:r>
      <w:bookmarkEnd w:id="590"/>
      <w:bookmarkEnd w:id="591"/>
    </w:p>
    <w:p w14:paraId="03AE43CC">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暂估价专业分包工程、服务、材料和工程设备的明细由合同当事人在专用合同条款中约定。</w:t>
      </w:r>
    </w:p>
    <w:p w14:paraId="365B45A1">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10.7.1 依法必须招标的暂估价项目</w:t>
      </w:r>
    </w:p>
    <w:p w14:paraId="3AD90AD0">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对于依法必须招标的暂估价项目，采取以下第1种方式确定。合同当事人也可以在专用合同条款中选择其他招标方式。</w:t>
      </w:r>
    </w:p>
    <w:p w14:paraId="21E1D557">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第1种方式：对于依法必须招标的暂估价项目，由承包人招标，对该暂估价项目的确认和批准按照以下约定执行：</w:t>
      </w:r>
    </w:p>
    <w:p w14:paraId="7583CCB7">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1）承包人应当根据施工进度计划，在招标工作启动前14天将招标方案通过监理人报送发包人审查，发包人应当在收到承包人报送的招标方案后7天内批准或提出修改意见。承包人应当按照经过发包人批准的招标方案开展招标工作；</w:t>
      </w:r>
    </w:p>
    <w:p w14:paraId="2742AA43">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2）承包人应当根据施工进度计划，提前14天将招标文件通过监理人报送发包人审批，发包人应当在收到承包人报送的相关文件后7天内完成审批或提出修改意见；发包人有权确定最高限价并按照法律规定参加评标；</w:t>
      </w:r>
    </w:p>
    <w:p w14:paraId="73BCD15D">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3）承包人与供应商、分包人在签订暂估价合同前，应当提前7天将确定的中标候选供应商或中标候选分包人的资料报送发包人，发包人应在收到资料后3天内与承包人共同确定中标人；承包人应当在签订合同后7天内，将暂估价合同副本报送发包人留存。</w:t>
      </w:r>
    </w:p>
    <w:p w14:paraId="6D730F01">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第2种方式：对于依法必须招标的暂估价项目，由发包人和承包人共同招标确定暂估价供应商或分包人的，承包人应按照施工进度计划，在招标工作启动前14天通知发包人，并提交暂估价招标方案和工作分工。发包人应在收到后7天内确认。确定中标人后，由发包人、承包人与中标人共同签订暂估价合同。</w:t>
      </w:r>
    </w:p>
    <w:p w14:paraId="6A2F5ABB">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10.7.2不属于依法必须招标的暂估价项目</w:t>
      </w:r>
    </w:p>
    <w:p w14:paraId="07A4CBF6">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 xml:space="preserve">除专用合同条款另有约定外，对于不属于依法必须招标的暂估价项目，采取以下第1种方式确定： </w:t>
      </w:r>
    </w:p>
    <w:p w14:paraId="033DD7D4">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第1种方式：对于不属于依法必须招标的暂估价项目，按本项约定确认和批准：</w:t>
      </w:r>
    </w:p>
    <w:p w14:paraId="354CFE82">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1）承包人应根据施工进度计划，在签订暂估价项目的采购合同、分包合同前28天向监理人提出书面申请。监理人应当在收到申请后3天内报送发包人，发包人应当在收到申请后14天内给予批准或提出修改意见，发包人逾期未予批准或提出修改意见的，视为该书面申请已获得同意；</w:t>
      </w:r>
    </w:p>
    <w:p w14:paraId="4E8DD2B8">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（2）发包人认为承包人确定的供应商、分包人无法满足工程质量或合同要求的，发包人可以要求承包人重新确定暂估价项目的供应商、分包人;</w:t>
      </w:r>
    </w:p>
    <w:p w14:paraId="7FBD575D">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（3）承包人应当在签订暂估价合同后7天内，将暂估价合同副本报送发包人留存。</w:t>
      </w:r>
    </w:p>
    <w:p w14:paraId="534C8565">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第2种方式：承包人按照第10.7.1项〔依法必须招标的暂估价项目〕约定的第1种方式确定暂估价项目。</w:t>
      </w:r>
    </w:p>
    <w:p w14:paraId="366BCB3F">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第3种方式：承包人直接实施的暂估价项目</w:t>
      </w:r>
    </w:p>
    <w:p w14:paraId="33FCB170">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承包人具备实施暂估价项目的资格和条件的，经发包人和承包人协商一致后，可由承包人自行实施暂估价项目，合同当事人可以在专用合同条款约定具体事项。</w:t>
      </w:r>
    </w:p>
    <w:p w14:paraId="7B32B5D7">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10.7.3 因发包人原因导致暂估价合同订立和履行迟延的，由此增加的费用和（或）延误的工期由发包人承担，并支付承包人合理的利润。因承包人原因导致暂估价合同订立和履行迟延的，由此增加的费用和（或）延误的工期由承包人承担。</w:t>
      </w:r>
    </w:p>
    <w:p w14:paraId="3C659F11">
      <w:pPr>
        <w:pStyle w:val="7"/>
        <w:spacing w:before="0" w:beforeAutospacing="0" w:after="0" w:afterAutospacing="0" w:line="360" w:lineRule="auto"/>
        <w:ind w:firstLine="422" w:firstLineChars="200"/>
        <w:rPr>
          <w:color w:val="auto"/>
          <w:sz w:val="21"/>
          <w:szCs w:val="21"/>
          <w:highlight w:val="none"/>
        </w:rPr>
      </w:pPr>
      <w:bookmarkStart w:id="592" w:name="_Toc351203575"/>
      <w:bookmarkStart w:id="593" w:name="_Toc532377261"/>
      <w:r>
        <w:rPr>
          <w:rFonts w:hint="eastAsia"/>
          <w:color w:val="auto"/>
          <w:sz w:val="21"/>
          <w:szCs w:val="21"/>
          <w:highlight w:val="none"/>
        </w:rPr>
        <w:t>1</w:t>
      </w:r>
      <w:bookmarkStart w:id="594" w:name="_Toc337558794"/>
      <w:bookmarkStart w:id="595" w:name="_Toc296503090"/>
      <w:bookmarkStart w:id="596" w:name="_Toc322522561"/>
      <w:bookmarkStart w:id="597" w:name="_Toc296346591"/>
      <w:r>
        <w:rPr>
          <w:rFonts w:hint="eastAsia"/>
          <w:color w:val="auto"/>
          <w:sz w:val="21"/>
          <w:szCs w:val="21"/>
          <w:highlight w:val="none"/>
        </w:rPr>
        <w:t>0.8暂列金额</w:t>
      </w:r>
      <w:bookmarkEnd w:id="592"/>
      <w:bookmarkEnd w:id="593"/>
    </w:p>
    <w:bookmarkEnd w:id="594"/>
    <w:p w14:paraId="3A8D2771">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暂列金额应按照发包人的要求使用，发包人的要求应通过监理人发出。合同当事人可以在专用合同条款中协商确定有关事项。</w:t>
      </w:r>
    </w:p>
    <w:bookmarkEnd w:id="595"/>
    <w:bookmarkEnd w:id="596"/>
    <w:bookmarkEnd w:id="597"/>
    <w:p w14:paraId="31488594">
      <w:pPr>
        <w:pStyle w:val="7"/>
        <w:spacing w:before="0" w:beforeAutospacing="0" w:after="0" w:afterAutospacing="0" w:line="360" w:lineRule="auto"/>
        <w:ind w:firstLine="422" w:firstLineChars="200"/>
        <w:rPr>
          <w:color w:val="auto"/>
          <w:sz w:val="21"/>
          <w:szCs w:val="21"/>
          <w:highlight w:val="none"/>
        </w:rPr>
      </w:pPr>
      <w:bookmarkStart w:id="598" w:name="_Toc351203576"/>
      <w:bookmarkStart w:id="599" w:name="_Toc532377262"/>
      <w:r>
        <w:rPr>
          <w:rFonts w:hint="eastAsia"/>
          <w:color w:val="auto"/>
          <w:sz w:val="21"/>
          <w:szCs w:val="21"/>
          <w:highlight w:val="none"/>
        </w:rPr>
        <w:t>1</w:t>
      </w:r>
      <w:bookmarkStart w:id="600" w:name="_Toc296503091"/>
      <w:bookmarkStart w:id="601" w:name="_Toc296346592"/>
      <w:bookmarkStart w:id="602" w:name="_Toc337558796"/>
      <w:r>
        <w:rPr>
          <w:rFonts w:hint="eastAsia"/>
          <w:color w:val="auto"/>
          <w:sz w:val="21"/>
          <w:szCs w:val="21"/>
          <w:highlight w:val="none"/>
        </w:rPr>
        <w:t>0.9计日工</w:t>
      </w:r>
      <w:bookmarkEnd w:id="598"/>
      <w:bookmarkEnd w:id="599"/>
      <w:bookmarkEnd w:id="600"/>
      <w:bookmarkEnd w:id="601"/>
      <w:bookmarkEnd w:id="602"/>
    </w:p>
    <w:p w14:paraId="4E6FBD10">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需要采用计日工方式的，经发包人同意后，由监理人通知承包人以计日工计价方式实施相应的工作，其价款按列入已标价工程量清单或预算书中的计日工计价项目及其单价进行计算；已标价工程量清单或预算书中无相应的计日工单价的，按照合理的成本与利润构成的原则，由合同当事人按照第4.4款〔商定或确定〕确定计日工的单价。</w:t>
      </w:r>
    </w:p>
    <w:p w14:paraId="10B53344">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采用计日工计价的任何一项工作，承包人应在该项工作实施过程中，每天提交以下报表和有关凭证报送监理人审查：</w:t>
      </w:r>
    </w:p>
    <w:p w14:paraId="21B1FBE6">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（1）工作名称、内容和数量；</w:t>
      </w:r>
    </w:p>
    <w:p w14:paraId="6524581C">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（2）投入该工作的所有人员的姓名、专业、工种、级别和耗用工时；</w:t>
      </w:r>
    </w:p>
    <w:p w14:paraId="49091651">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（3）投入该工作的材料类别和数量；</w:t>
      </w:r>
    </w:p>
    <w:p w14:paraId="00EE52F5">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（4）投入该工作的施工设备型号、台数和耗用台时；</w:t>
      </w:r>
    </w:p>
    <w:p w14:paraId="71E3279B">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（5）其他有关资料和凭证。</w:t>
      </w:r>
    </w:p>
    <w:p w14:paraId="20416174">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 xml:space="preserve"> 计日工由承包人汇总后，列入最近一期进度付款申请单，由监理人审查并经发包人批准后列入进度付款。</w:t>
      </w:r>
    </w:p>
    <w:p w14:paraId="086B5CEF">
      <w:pPr>
        <w:pStyle w:val="6"/>
        <w:keepNext/>
        <w:keepLines/>
        <w:spacing w:before="120" w:beforeLines="50" w:after="120" w:afterLines="50" w:line="360" w:lineRule="auto"/>
        <w:jc w:val="both"/>
        <w:rPr>
          <w:bCs/>
          <w:color w:val="auto"/>
          <w:szCs w:val="21"/>
          <w:highlight w:val="none"/>
        </w:rPr>
      </w:pPr>
      <w:bookmarkStart w:id="603" w:name="_Toc351203577"/>
      <w:bookmarkStart w:id="604" w:name="_Toc532377263"/>
      <w:bookmarkStart w:id="605" w:name="_Toc532375597"/>
      <w:r>
        <w:rPr>
          <w:rFonts w:hint="eastAsia"/>
          <w:color w:val="auto"/>
          <w:szCs w:val="21"/>
          <w:highlight w:val="none"/>
        </w:rPr>
        <w:t>11. 价格调整</w:t>
      </w:r>
      <w:bookmarkEnd w:id="603"/>
      <w:bookmarkEnd w:id="604"/>
      <w:bookmarkEnd w:id="605"/>
    </w:p>
    <w:p w14:paraId="4F5F4907">
      <w:pPr>
        <w:pStyle w:val="7"/>
        <w:spacing w:before="0" w:beforeAutospacing="0" w:after="0" w:afterAutospacing="0" w:line="360" w:lineRule="auto"/>
        <w:ind w:firstLine="422" w:firstLineChars="200"/>
        <w:rPr>
          <w:color w:val="auto"/>
          <w:sz w:val="21"/>
          <w:szCs w:val="21"/>
          <w:highlight w:val="none"/>
        </w:rPr>
      </w:pPr>
      <w:bookmarkStart w:id="606" w:name="_Toc532377264"/>
      <w:bookmarkStart w:id="607" w:name="_Toc351203578"/>
      <w:bookmarkStart w:id="608" w:name="_Toc296503092"/>
      <w:bookmarkStart w:id="609" w:name="_Toc337558797"/>
      <w:bookmarkStart w:id="610" w:name="_Toc296346593"/>
      <w:r>
        <w:rPr>
          <w:rFonts w:hint="eastAsia"/>
          <w:color w:val="auto"/>
          <w:sz w:val="21"/>
          <w:szCs w:val="21"/>
          <w:highlight w:val="none"/>
        </w:rPr>
        <w:t>11.1市场价格波动引起的调整</w:t>
      </w:r>
      <w:bookmarkEnd w:id="606"/>
      <w:bookmarkEnd w:id="607"/>
    </w:p>
    <w:bookmarkEnd w:id="608"/>
    <w:bookmarkEnd w:id="609"/>
    <w:bookmarkEnd w:id="610"/>
    <w:p w14:paraId="02164C93">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除专用合同条款另有约定外，市场价格波动超过合同当事人约定的范围，合同价格应当调整。合同当事人可以在专用合同条款中约定选择以下一种方式对合同价格进行调整：</w:t>
      </w:r>
    </w:p>
    <w:p w14:paraId="5DF1A4FA">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第1种方式：采用价格指数进行价格调整。</w:t>
      </w:r>
    </w:p>
    <w:p w14:paraId="5F57BBE7">
      <w:pPr>
        <w:tabs>
          <w:tab w:val="left" w:pos="0"/>
          <w:tab w:val="left" w:pos="360"/>
          <w:tab w:val="left" w:pos="540"/>
        </w:tabs>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（1）价格调整公式</w:t>
      </w:r>
    </w:p>
    <w:p w14:paraId="78AADCC5">
      <w:pPr>
        <w:tabs>
          <w:tab w:val="left" w:pos="0"/>
          <w:tab w:val="left" w:pos="360"/>
          <w:tab w:val="left" w:pos="540"/>
        </w:tabs>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因人工、材料和设备等价格波动影响合同价格时，根据专用合同条款中约定的数据，按以下公式计算差额并调整合同价格：</w:t>
      </w:r>
    </w:p>
    <w:p w14:paraId="38CBAD7F">
      <w:pPr>
        <w:tabs>
          <w:tab w:val="left" w:pos="0"/>
          <w:tab w:val="left" w:pos="360"/>
          <w:tab w:val="left" w:pos="540"/>
        </w:tabs>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object>
          <v:shape id="_x0000_i1025" o:spt="75" type="#_x0000_t75" style="height:43pt;width:360pt;" o:ole="t" filled="f" o:preferrelative="t" stroked="f" coordsize="21600,21600">
            <v:path/>
            <v:fill on="f" focussize="0,0"/>
            <v:stroke on="f" joinstyle="miter"/>
            <v:imagedata r:id="rId25" o:title=""/>
            <o:lock v:ext="edit" aspectratio="t"/>
            <w10:wrap type="none"/>
            <w10:anchorlock/>
          </v:shape>
          <o:OLEObject Type="Embed" ProgID="Equation.3" ShapeID="_x0000_i1025" DrawAspect="Content" ObjectID="_1468075725" r:id="rId24">
            <o:LockedField>false</o:LockedField>
          </o:OLEObject>
        </w:object>
      </w:r>
    </w:p>
    <w:p w14:paraId="219BA4C9">
      <w:pPr>
        <w:tabs>
          <w:tab w:val="left" w:pos="0"/>
          <w:tab w:val="left" w:pos="360"/>
          <w:tab w:val="left" w:pos="540"/>
        </w:tabs>
        <w:spacing w:line="360" w:lineRule="auto"/>
        <w:ind w:firstLine="200"/>
        <w:jc w:val="left"/>
        <w:rPr>
          <w:rFonts w:ascii="宋体" w:hAnsi="宋体"/>
          <w:color w:val="auto"/>
          <w:kern w:val="0"/>
          <w:szCs w:val="21"/>
          <w:highlight w:val="none"/>
        </w:rPr>
      </w:pPr>
      <w:r>
        <w:rPr>
          <w:rFonts w:hint="eastAsia" w:ascii="宋体" w:hAnsi="宋体"/>
          <w:color w:val="auto"/>
          <w:kern w:val="0"/>
          <w:szCs w:val="21"/>
          <w:highlight w:val="none"/>
        </w:rPr>
        <w:t>公式中：ΔP——需调整的价格差额；</w:t>
      </w:r>
    </w:p>
    <w:p w14:paraId="41A2166D">
      <w:pPr>
        <w:tabs>
          <w:tab w:val="left" w:pos="0"/>
          <w:tab w:val="left" w:pos="360"/>
          <w:tab w:val="left" w:pos="540"/>
        </w:tabs>
        <w:spacing w:line="360" w:lineRule="auto"/>
        <w:ind w:firstLine="1260" w:firstLineChars="600"/>
        <w:jc w:val="left"/>
        <w:rPr>
          <w:rFonts w:ascii="宋体" w:hAnsi="宋体"/>
          <w:color w:val="auto"/>
          <w:kern w:val="0"/>
          <w:szCs w:val="21"/>
          <w:highlight w:val="none"/>
        </w:rPr>
      </w:pPr>
      <w:r>
        <w:rPr>
          <w:rFonts w:hint="eastAsia" w:ascii="宋体" w:hAnsi="宋体"/>
          <w:color w:val="auto"/>
          <w:kern w:val="0"/>
          <w:szCs w:val="21"/>
          <w:highlight w:val="none"/>
        </w:rPr>
        <w:object>
          <v:shape id="_x0000_i1026" o:spt="75" type="#_x0000_t75" style="height:18.5pt;width:18.5pt;" o:ole="t" filled="f" o:preferrelative="t" stroked="f" coordsize="21600,21600">
            <v:path/>
            <v:fill on="f" focussize="0,0"/>
            <v:stroke on="f" joinstyle="miter"/>
            <v:imagedata r:id="rId27" o:title=""/>
            <o:lock v:ext="edit" aspectratio="t"/>
            <w10:wrap type="none"/>
            <w10:anchorlock/>
          </v:shape>
          <o:OLEObject Type="Embed" ProgID="Equation.3" ShapeID="_x0000_i1026" DrawAspect="Content" ObjectID="_1468075726" r:id="rId26">
            <o:LockedField>false</o:LockedField>
          </o:OLEObject>
        </w:object>
      </w:r>
      <w:r>
        <w:rPr>
          <w:rFonts w:hint="eastAsia" w:ascii="宋体" w:hAnsi="宋体"/>
          <w:color w:val="auto"/>
          <w:kern w:val="0"/>
          <w:szCs w:val="21"/>
          <w:highlight w:val="none"/>
        </w:rPr>
        <w:t>——约定的付款证书中承包人应得到的已完成工程量的金额。此项金额应不包括价格调整、不计质量保证金的扣留和支付、预付款的支付和扣回。约定的变更及其他金额已按现行价格计价的，也不计在内；</w:t>
      </w:r>
    </w:p>
    <w:p w14:paraId="7AB1728E">
      <w:pPr>
        <w:tabs>
          <w:tab w:val="left" w:pos="0"/>
          <w:tab w:val="left" w:pos="360"/>
          <w:tab w:val="left" w:pos="540"/>
        </w:tabs>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A——定值权重（即不调部分的权重）；</w:t>
      </w:r>
    </w:p>
    <w:p w14:paraId="5F7B6E9D">
      <w:pPr>
        <w:tabs>
          <w:tab w:val="left" w:pos="0"/>
          <w:tab w:val="left" w:pos="360"/>
          <w:tab w:val="left" w:pos="540"/>
        </w:tabs>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object>
          <v:shape id="_x0000_i1027" o:spt="75" type="#_x0000_t75" style="height:22pt;width:100.5pt;" o:ole="t" filled="f" o:preferrelative="t" stroked="f" coordsize="21600,21600">
            <v:path/>
            <v:fill on="f" focussize="0,0"/>
            <v:stroke on="f" joinstyle="miter"/>
            <v:imagedata r:id="rId29" o:title=""/>
            <o:lock v:ext="edit" aspectratio="t"/>
            <w10:wrap type="none"/>
            <w10:anchorlock/>
          </v:shape>
          <o:OLEObject Type="Embed" ProgID="Equation.3" ShapeID="_x0000_i1027" DrawAspect="Content" ObjectID="_1468075727" r:id="rId28">
            <o:LockedField>false</o:LockedField>
          </o:OLEObject>
        </w:object>
      </w:r>
      <w:r>
        <w:rPr>
          <w:rFonts w:hint="eastAsia" w:ascii="宋体" w:hAnsi="宋体"/>
          <w:color w:val="auto"/>
          <w:kern w:val="0"/>
          <w:szCs w:val="21"/>
          <w:highlight w:val="none"/>
        </w:rPr>
        <w:t>——各可调因子的变值权重（即可调部分的权重），为各可调因子在签约合同价中所占的比例；</w:t>
      </w:r>
    </w:p>
    <w:p w14:paraId="6D247B52">
      <w:pPr>
        <w:tabs>
          <w:tab w:val="left" w:pos="0"/>
          <w:tab w:val="left" w:pos="360"/>
          <w:tab w:val="left" w:pos="540"/>
        </w:tabs>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object>
          <v:shape id="_x0000_i1028" o:spt="75" type="#_x0000_t75" style="height:22pt;width:101.5pt;" o:ole="t" filled="f" o:preferrelative="t" stroked="f" coordsize="21600,21600">
            <v:path/>
            <v:fill on="f" focussize="0,0"/>
            <v:stroke on="f" joinstyle="miter"/>
            <v:imagedata r:id="rId31" o:title=""/>
            <o:lock v:ext="edit" aspectratio="t"/>
            <w10:wrap type="none"/>
            <w10:anchorlock/>
          </v:shape>
          <o:OLEObject Type="Embed" ProgID="Equation.3" ShapeID="_x0000_i1028" DrawAspect="Content" ObjectID="_1468075728" r:id="rId30">
            <o:LockedField>false</o:LockedField>
          </o:OLEObject>
        </w:object>
      </w:r>
      <w:r>
        <w:rPr>
          <w:rFonts w:hint="eastAsia" w:ascii="宋体" w:hAnsi="宋体"/>
          <w:color w:val="auto"/>
          <w:kern w:val="0"/>
          <w:szCs w:val="21"/>
          <w:highlight w:val="none"/>
        </w:rPr>
        <w:t>——各可调因子的现行价格指数，指约定的付款证书相关周期最后一天的前42天的各可调因子的价格指数；</w:t>
      </w:r>
    </w:p>
    <w:p w14:paraId="38DBB1C4">
      <w:pPr>
        <w:tabs>
          <w:tab w:val="left" w:pos="0"/>
          <w:tab w:val="left" w:pos="360"/>
          <w:tab w:val="left" w:pos="540"/>
        </w:tabs>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object>
          <v:shape id="_x0000_i1029" o:spt="75" type="#_x0000_t75" style="height:22pt;width:109pt;" o:ole="t" filled="f" o:preferrelative="t" stroked="f" coordsize="21600,21600">
            <v:path/>
            <v:fill on="f" focussize="0,0"/>
            <v:stroke on="f" joinstyle="miter"/>
            <v:imagedata r:id="rId33" o:title=""/>
            <o:lock v:ext="edit" aspectratio="t"/>
            <w10:wrap type="none"/>
            <w10:anchorlock/>
          </v:shape>
          <o:OLEObject Type="Embed" ProgID="Equation.3" ShapeID="_x0000_i1029" DrawAspect="Content" ObjectID="_1468075729" r:id="rId32">
            <o:LockedField>false</o:LockedField>
          </o:OLEObject>
        </w:object>
      </w:r>
      <w:r>
        <w:rPr>
          <w:rFonts w:hint="eastAsia" w:ascii="宋体" w:hAnsi="宋体"/>
          <w:color w:val="auto"/>
          <w:kern w:val="0"/>
          <w:szCs w:val="21"/>
          <w:highlight w:val="none"/>
        </w:rPr>
        <w:t>——各可调因子的基本价格指数，指基准日期的各可调因子的价格指数。</w:t>
      </w:r>
    </w:p>
    <w:p w14:paraId="46EB61A6">
      <w:pPr>
        <w:tabs>
          <w:tab w:val="left" w:pos="0"/>
          <w:tab w:val="left" w:pos="360"/>
          <w:tab w:val="left" w:pos="540"/>
        </w:tabs>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以上价格调整公式中的各可调因子、定值和变值权重，以及基本价格指数及其来源在投标函附录价格指数和权重表中约定，非招标订立的合同，由合同当事人在专用合同条款中约定。价格指数应首先采用工程造价管理机构发布的价格指数，无前述价格指数时，可采用工程造价管理机构发布的价格代替。</w:t>
      </w:r>
    </w:p>
    <w:p w14:paraId="3C75A8AE">
      <w:pPr>
        <w:tabs>
          <w:tab w:val="left" w:pos="0"/>
          <w:tab w:val="left" w:pos="360"/>
          <w:tab w:val="left" w:pos="540"/>
        </w:tabs>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（2）暂时确定调整差额</w:t>
      </w:r>
    </w:p>
    <w:p w14:paraId="2272130A">
      <w:pPr>
        <w:tabs>
          <w:tab w:val="left" w:pos="0"/>
          <w:tab w:val="left" w:pos="360"/>
          <w:tab w:val="left" w:pos="540"/>
        </w:tabs>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在计算调整差额时无现行价格指数的，合同当事人同意暂用前次价格指数计算。实际价格指数有调整的，合同当事人进行相应调整。</w:t>
      </w:r>
    </w:p>
    <w:p w14:paraId="6808FB57">
      <w:pPr>
        <w:tabs>
          <w:tab w:val="left" w:pos="0"/>
          <w:tab w:val="left" w:pos="360"/>
          <w:tab w:val="left" w:pos="540"/>
        </w:tabs>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（3）权重的调整</w:t>
      </w:r>
    </w:p>
    <w:p w14:paraId="2370146A">
      <w:pPr>
        <w:tabs>
          <w:tab w:val="left" w:pos="0"/>
          <w:tab w:val="left" w:pos="360"/>
          <w:tab w:val="left" w:pos="540"/>
        </w:tabs>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因变更导致合同约定的权重不合理时，按照第4.4款〔商定或确定〕执行。</w:t>
      </w:r>
    </w:p>
    <w:p w14:paraId="0884A612">
      <w:pPr>
        <w:tabs>
          <w:tab w:val="left" w:pos="0"/>
          <w:tab w:val="left" w:pos="360"/>
          <w:tab w:val="left" w:pos="540"/>
        </w:tabs>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（4）因承包人原因工期延误后的价格调整</w:t>
      </w:r>
    </w:p>
    <w:p w14:paraId="4FB48FD9">
      <w:pPr>
        <w:tabs>
          <w:tab w:val="left" w:pos="0"/>
          <w:tab w:val="left" w:pos="360"/>
          <w:tab w:val="left" w:pos="540"/>
        </w:tabs>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因承包人原因未按期竣工的，对合同约定的竣工日期后继续施工的工程，在使用价格调整公式时，应采用计划竣工日期与实际竣工日期的两个价格指数中较低的一个作为现行价格指数。</w:t>
      </w:r>
    </w:p>
    <w:p w14:paraId="77C06427">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第2种方式：采用造价信息进行价格调整。</w:t>
      </w:r>
    </w:p>
    <w:p w14:paraId="7A153BC0">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合同履行期间，因人工、材料、工程设备和机械台班价格波动影响合同价格时，人工、机械使用费按照国家或省、自治区、直辖市建设行政管理部门、行业建设管理部门或其授权的工程造价管理机构发布的人工、机械使用费系数进行调整；需要进行价格调整的材料，其单价和采购数量应由发包人审批，发包人确认需调整的材料单价及数量，作为调整合同价格的依据。</w:t>
      </w:r>
    </w:p>
    <w:p w14:paraId="479FF924">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1）人工单价发生变化且符合省级或行业建设主管部门发布的人工费调整规定，合同当事人应按省级或行业建设主管部门或其授权的工程造价管理机构发布的人工费等文件调整合同价格，但承包人对人工费或人工单价的报价高于发布价格的除外。</w:t>
      </w:r>
    </w:p>
    <w:p w14:paraId="07D9B7BE">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（2）材料、工程设备价格变化的价款调整按照发包人提供的基准价格，按以下风险范围规定执行：</w:t>
      </w:r>
    </w:p>
    <w:p w14:paraId="7CFEF325">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①承包人在已标价工程量清单或预算书中载明材料单价低于基准价格的：除专用合同条款另有约定外，合同履行期间材料单价涨幅以基准价格为基础超过5%时，或材料单价跌幅以在已标价工程量清单或预算书中载明材料单价为基础超过5%时，其超过部分据实调整。</w:t>
      </w:r>
    </w:p>
    <w:p w14:paraId="7DBF290C">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②承包人在已标价工程量清单或预算书中载明材料单价高于基准价格的：除专用合同条款另有约定外，合同履行期间材料单价跌幅以基准价格为基础超过5%时，材料单价涨幅以在已标价工程量清单或预算书中载明材料单价为基础超过5%时，其超过部分据实调整。</w:t>
      </w:r>
    </w:p>
    <w:p w14:paraId="5D1F1D8B">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③承包人在已标价工程量清单或预算书中载明材料单价等于基准价格的：除专用合同条款另有约定外，合同履行期间材料单价涨跌幅以基准价格为基础超过±5%时，其超过部分据实调整。</w:t>
      </w:r>
    </w:p>
    <w:p w14:paraId="567FC412">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④承包人应在采购材料前将采购数量和新的材料单价报发包人核对，发包人确认用于工程时，发包人应确认采购材料的数量和单价。发包人在收到承包人报送的确认资料后5天内不予答复的视为认可，作为调整合同价格的依据。未经发包人事先核对，承包人自行采购材料的，发包人有权不予调整合同价格。发包人同意的，可以调整合同价格。</w:t>
      </w:r>
    </w:p>
    <w:p w14:paraId="47018745">
      <w:pPr>
        <w:spacing w:line="360" w:lineRule="auto"/>
        <w:ind w:firstLine="420" w:firstLineChars="200"/>
        <w:jc w:val="left"/>
        <w:rPr>
          <w:rFonts w:ascii="宋体" w:hAnsi="宋体"/>
          <w:color w:val="auto"/>
          <w:kern w:val="0"/>
          <w:szCs w:val="21"/>
          <w:highlight w:val="none"/>
        </w:rPr>
      </w:pPr>
      <w:bookmarkStart w:id="611" w:name="OLE_LINK3"/>
      <w:r>
        <w:rPr>
          <w:rFonts w:hint="eastAsia" w:ascii="宋体" w:hAnsi="宋体"/>
          <w:color w:val="auto"/>
          <w:kern w:val="0"/>
          <w:szCs w:val="21"/>
          <w:highlight w:val="none"/>
        </w:rPr>
        <w:t>前述基准价格是指由发包人在招标文件或专用合同条款中给定的材料、工程设备的价格，该价格原则上应当按照省级或行业建设主管部门或其授权的工程造价管理机构发布的信息价编制。</w:t>
      </w:r>
    </w:p>
    <w:p w14:paraId="7F86D433">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（3）施工机械台班单价或施工机械使用费发生变化超过省级或行业建设主管部门或其授权的工程造价管理机构规定的范围时，按规定调整合同价格。</w:t>
      </w:r>
    </w:p>
    <w:p w14:paraId="70DD8D8E">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第3种方式：专用合同条款约定的其他方式。</w:t>
      </w:r>
    </w:p>
    <w:p w14:paraId="37FE59A6">
      <w:pPr>
        <w:pStyle w:val="7"/>
        <w:spacing w:before="0" w:beforeAutospacing="0" w:after="0" w:afterAutospacing="0" w:line="360" w:lineRule="auto"/>
        <w:ind w:firstLine="422" w:firstLineChars="200"/>
        <w:rPr>
          <w:color w:val="auto"/>
          <w:sz w:val="21"/>
          <w:szCs w:val="21"/>
          <w:highlight w:val="none"/>
        </w:rPr>
      </w:pPr>
      <w:bookmarkStart w:id="612" w:name="_Toc351203579"/>
      <w:bookmarkStart w:id="613" w:name="_Toc532377265"/>
      <w:bookmarkStart w:id="614" w:name="_Toc337558798"/>
      <w:bookmarkStart w:id="615" w:name="_Toc296503093"/>
      <w:bookmarkStart w:id="616" w:name="_Toc296346594"/>
      <w:r>
        <w:rPr>
          <w:rFonts w:hint="eastAsia"/>
          <w:color w:val="auto"/>
          <w:sz w:val="21"/>
          <w:szCs w:val="21"/>
          <w:highlight w:val="none"/>
        </w:rPr>
        <w:t>11.2法律变化引起的调整</w:t>
      </w:r>
      <w:bookmarkEnd w:id="612"/>
      <w:bookmarkEnd w:id="613"/>
    </w:p>
    <w:bookmarkEnd w:id="614"/>
    <w:bookmarkEnd w:id="615"/>
    <w:bookmarkEnd w:id="616"/>
    <w:p w14:paraId="243BF723">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基准日期后，法律变化导致承包人在合同履行过程中所需要的费用发生除第11.1款〔市场价格波动引起的调整〕约定以外的增加时，由发包人承担由此增加的费用；减少时，应从合同价格中予以扣减。基准日期后，因法律变化造成工期延误时，工期应予以顺延。</w:t>
      </w:r>
    </w:p>
    <w:p w14:paraId="29F6B44D">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因法律变化引起的合同价格和工期调整，合同当事人无法达成一致的，由总监理工程师按第4.4款〔商定或确定〕的约定处理。</w:t>
      </w:r>
    </w:p>
    <w:p w14:paraId="75227FB2">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因承包人原因造成工期延误，在工期延误期间出现法律变化的，由此增加的费用和（或）延误的工期由承包人承担。</w:t>
      </w:r>
    </w:p>
    <w:p w14:paraId="6D7B3D24">
      <w:pPr>
        <w:pStyle w:val="6"/>
        <w:keepNext/>
        <w:keepLines/>
        <w:spacing w:before="120" w:beforeLines="50" w:after="120" w:afterLines="50" w:line="360" w:lineRule="auto"/>
        <w:jc w:val="both"/>
        <w:rPr>
          <w:bCs/>
          <w:color w:val="auto"/>
          <w:szCs w:val="21"/>
          <w:highlight w:val="none"/>
        </w:rPr>
      </w:pPr>
      <w:bookmarkStart w:id="617" w:name="_Toc532375598"/>
      <w:bookmarkStart w:id="618" w:name="_Toc532377266"/>
      <w:bookmarkStart w:id="619" w:name="_Toc351203580"/>
      <w:bookmarkStart w:id="620" w:name="_Toc337558799"/>
      <w:bookmarkStart w:id="621" w:name="_Toc296346597"/>
      <w:bookmarkStart w:id="622" w:name="_Toc296503096"/>
      <w:r>
        <w:rPr>
          <w:rFonts w:hint="eastAsia"/>
          <w:color w:val="auto"/>
          <w:szCs w:val="21"/>
          <w:highlight w:val="none"/>
        </w:rPr>
        <w:t>12. 合同价格、计量与支付</w:t>
      </w:r>
      <w:bookmarkEnd w:id="617"/>
      <w:bookmarkEnd w:id="618"/>
      <w:bookmarkEnd w:id="619"/>
    </w:p>
    <w:bookmarkEnd w:id="620"/>
    <w:p w14:paraId="42281CD7">
      <w:pPr>
        <w:pStyle w:val="7"/>
        <w:spacing w:before="0" w:beforeAutospacing="0" w:after="0" w:afterAutospacing="0" w:line="360" w:lineRule="auto"/>
        <w:ind w:firstLine="422" w:firstLineChars="200"/>
        <w:rPr>
          <w:color w:val="auto"/>
          <w:sz w:val="21"/>
          <w:szCs w:val="21"/>
          <w:highlight w:val="none"/>
        </w:rPr>
      </w:pPr>
      <w:bookmarkStart w:id="623" w:name="_Toc351203581"/>
      <w:bookmarkStart w:id="624" w:name="_Toc532377267"/>
      <w:bookmarkStart w:id="625" w:name="_Toc337558800"/>
      <w:r>
        <w:rPr>
          <w:rFonts w:hint="eastAsia"/>
          <w:color w:val="auto"/>
          <w:sz w:val="21"/>
          <w:szCs w:val="21"/>
          <w:highlight w:val="none"/>
        </w:rPr>
        <w:t>12.1 合同价</w:t>
      </w:r>
      <w:bookmarkEnd w:id="621"/>
      <w:bookmarkEnd w:id="622"/>
      <w:r>
        <w:rPr>
          <w:rFonts w:hint="eastAsia"/>
          <w:color w:val="auto"/>
          <w:sz w:val="21"/>
          <w:szCs w:val="21"/>
          <w:highlight w:val="none"/>
        </w:rPr>
        <w:t>格形式</w:t>
      </w:r>
      <w:bookmarkEnd w:id="623"/>
      <w:bookmarkEnd w:id="624"/>
    </w:p>
    <w:bookmarkEnd w:id="625"/>
    <w:p w14:paraId="0336E122">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 xml:space="preserve">发包人和承包人应在合同协议书中选择下列一种合同价格形式： </w:t>
      </w:r>
    </w:p>
    <w:p w14:paraId="22B76463">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1.单价合同</w:t>
      </w:r>
    </w:p>
    <w:p w14:paraId="32557C1A">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单价合同是指合同当事人约定以工程量清单及其综合单价进行合同价格计算、调整和确认的建设工程施工合同，在约定的范围内合同单价不作调整。合同当事人应在专用合同条款中约定综合单价包含的风险范围和风险费用的计算方法，并约定风险范围以外的合同价格的调整方法，其中因市场价格波动引起的调整按第11.1款〔市场价格波动引起的调整〕约定执行。</w:t>
      </w:r>
    </w:p>
    <w:p w14:paraId="626A6F1A">
      <w:pPr>
        <w:pStyle w:val="7"/>
        <w:spacing w:before="0" w:beforeAutospacing="0" w:after="0" w:afterAutospacing="0" w:line="360" w:lineRule="auto"/>
        <w:ind w:firstLine="420" w:firstLineChars="200"/>
        <w:rPr>
          <w:b w:val="0"/>
          <w:color w:val="auto"/>
          <w:sz w:val="21"/>
          <w:szCs w:val="21"/>
          <w:highlight w:val="none"/>
        </w:rPr>
      </w:pPr>
      <w:bookmarkStart w:id="626" w:name="_Toc532377268"/>
      <w:r>
        <w:rPr>
          <w:rFonts w:hint="eastAsia"/>
          <w:b w:val="0"/>
          <w:color w:val="auto"/>
          <w:sz w:val="21"/>
          <w:szCs w:val="21"/>
          <w:highlight w:val="none"/>
        </w:rPr>
        <w:t>2.总价合同</w:t>
      </w:r>
      <w:bookmarkEnd w:id="626"/>
    </w:p>
    <w:p w14:paraId="4365E397">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总价合同是指合同当事人约定以施工图、已标价工程量清单或预算书及有关条件进行合同价格计算、调整和确认的建设工程施工合同，在约定的范围内合同总价不作调整。合同当事人应在专用合同条款中约定总价包含的风险范围和风险费用的计算方法，并约定风险范围以外的合同价格的调整方法，其中因市场价格波动引起的调整按第11.1款〔市场价格波动引起的调整〕、因法律变化引起的调整按第11.2款〔法律变化引起的调整〕约定执行。</w:t>
      </w:r>
    </w:p>
    <w:p w14:paraId="0F08F6F7">
      <w:pPr>
        <w:pStyle w:val="7"/>
        <w:spacing w:before="0" w:beforeAutospacing="0" w:after="0" w:afterAutospacing="0" w:line="360" w:lineRule="auto"/>
        <w:ind w:firstLine="420" w:firstLineChars="200"/>
        <w:rPr>
          <w:b w:val="0"/>
          <w:color w:val="auto"/>
          <w:sz w:val="21"/>
          <w:szCs w:val="21"/>
          <w:highlight w:val="none"/>
        </w:rPr>
      </w:pPr>
      <w:bookmarkStart w:id="627" w:name="_Toc532377269"/>
      <w:r>
        <w:rPr>
          <w:rFonts w:hint="eastAsia"/>
          <w:b w:val="0"/>
          <w:color w:val="auto"/>
          <w:sz w:val="21"/>
          <w:szCs w:val="21"/>
          <w:highlight w:val="none"/>
        </w:rPr>
        <w:t>3.其它价格形式</w:t>
      </w:r>
      <w:bookmarkEnd w:id="627"/>
    </w:p>
    <w:p w14:paraId="693E6C2E">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合同当事人可在专用合同条款中约定其他合同价格形式。</w:t>
      </w:r>
    </w:p>
    <w:p w14:paraId="7FD7133A">
      <w:pPr>
        <w:pStyle w:val="7"/>
        <w:spacing w:before="0" w:beforeAutospacing="0" w:after="0" w:afterAutospacing="0" w:line="360" w:lineRule="auto"/>
        <w:ind w:firstLine="422" w:firstLineChars="200"/>
        <w:rPr>
          <w:color w:val="auto"/>
          <w:sz w:val="21"/>
          <w:szCs w:val="21"/>
          <w:highlight w:val="none"/>
        </w:rPr>
      </w:pPr>
      <w:bookmarkStart w:id="628" w:name="_Toc296346598"/>
      <w:bookmarkStart w:id="629" w:name="_Toc296503097"/>
      <w:bookmarkStart w:id="630" w:name="_Toc532377270"/>
      <w:bookmarkStart w:id="631" w:name="_Toc351203582"/>
      <w:bookmarkStart w:id="632" w:name="_Toc337558801"/>
      <w:r>
        <w:rPr>
          <w:rFonts w:hint="eastAsia"/>
          <w:color w:val="auto"/>
          <w:sz w:val="21"/>
          <w:szCs w:val="21"/>
          <w:highlight w:val="none"/>
        </w:rPr>
        <w:t>12.2预</w:t>
      </w:r>
      <w:bookmarkEnd w:id="628"/>
      <w:bookmarkEnd w:id="629"/>
      <w:bookmarkStart w:id="633" w:name="_Toc296503100"/>
      <w:bookmarkStart w:id="634" w:name="_Toc296346601"/>
      <w:r>
        <w:rPr>
          <w:rFonts w:hint="eastAsia"/>
          <w:color w:val="auto"/>
          <w:sz w:val="21"/>
          <w:szCs w:val="21"/>
          <w:highlight w:val="none"/>
        </w:rPr>
        <w:t>付款</w:t>
      </w:r>
      <w:bookmarkEnd w:id="630"/>
      <w:bookmarkEnd w:id="631"/>
    </w:p>
    <w:bookmarkEnd w:id="611"/>
    <w:bookmarkEnd w:id="632"/>
    <w:bookmarkEnd w:id="633"/>
    <w:bookmarkEnd w:id="634"/>
    <w:p w14:paraId="18D0B706">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lang w:val="en-US" w:eastAsia="zh-CN"/>
        </w:rPr>
        <w:t>预付款支付比例或金额： 无</w:t>
      </w:r>
      <w:r>
        <w:rPr>
          <w:rFonts w:hint="eastAsia" w:ascii="宋体" w:hAnsi="宋体"/>
          <w:color w:val="auto"/>
          <w:kern w:val="0"/>
          <w:szCs w:val="21"/>
          <w:highlight w:val="none"/>
        </w:rPr>
        <w:t>。</w:t>
      </w:r>
    </w:p>
    <w:p w14:paraId="4743048F">
      <w:pPr>
        <w:pStyle w:val="7"/>
        <w:spacing w:before="0" w:beforeAutospacing="0" w:after="0" w:afterAutospacing="0" w:line="360" w:lineRule="auto"/>
        <w:ind w:firstLine="422" w:firstLineChars="200"/>
        <w:rPr>
          <w:color w:val="auto"/>
          <w:sz w:val="21"/>
          <w:szCs w:val="21"/>
          <w:highlight w:val="none"/>
        </w:rPr>
      </w:pPr>
      <w:bookmarkStart w:id="635" w:name="_Toc351203583"/>
      <w:bookmarkStart w:id="636" w:name="_Toc532377271"/>
      <w:bookmarkStart w:id="637" w:name="_Toc337558802"/>
      <w:r>
        <w:rPr>
          <w:rFonts w:hint="eastAsia"/>
          <w:color w:val="auto"/>
          <w:sz w:val="21"/>
          <w:szCs w:val="21"/>
          <w:highlight w:val="none"/>
        </w:rPr>
        <w:t>12.3计量</w:t>
      </w:r>
      <w:bookmarkEnd w:id="635"/>
      <w:bookmarkEnd w:id="636"/>
    </w:p>
    <w:bookmarkEnd w:id="637"/>
    <w:p w14:paraId="71A31189">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12.3.1 计量原则</w:t>
      </w:r>
    </w:p>
    <w:p w14:paraId="191FEB9D">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工程量计量按照合同约定的工程量计算规则、图纸及变更指示等进行计量。工程量计算规则应以相关的国家标准、行业标准等为依据，由合同当事人在专用合同条款中约定。</w:t>
      </w:r>
    </w:p>
    <w:p w14:paraId="6BC90EE5">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12.3.2 计量周期</w:t>
      </w:r>
    </w:p>
    <w:p w14:paraId="7288ECB1">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除专用合同条款另有约定外，工程量的计量按月进行。</w:t>
      </w:r>
    </w:p>
    <w:p w14:paraId="37C5C4A4">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12.3.3 单价合同的计量</w:t>
      </w:r>
    </w:p>
    <w:p w14:paraId="53285A28">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除专用合同条款另有约定外，单价合同的计量按照本项约定执行：</w:t>
      </w:r>
    </w:p>
    <w:p w14:paraId="49C987F6">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（1）承包人应于每月25日向监理人报送上月20日至当月19日已完成的工程量报告，并附具进度付款申请单、已完成工程量报表和有关资料。</w:t>
      </w:r>
    </w:p>
    <w:p w14:paraId="6DE978B6">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2）监理人应在收到承包人提交的工程量报告后7天内完成对承包人提交的工程量报表的审核并报送发包人，以确定当月实际完成的工程量。监理人对工程量有异议的，有权要求承包人进行共同复核或抽样复测。承包人应协助监理人进行复核或抽样复测，并按监理人要求提供补充计量资料。承包人未按监理人要求参加复核或抽样复测的，监理人复核或修正的工程量视为承包人实际完成的工程量。</w:t>
      </w:r>
    </w:p>
    <w:p w14:paraId="63C0BC7B">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（3）监理人未在收到承包人提交的工程量报表后的7天内完成审核的，承包人报送的工程量报告中的工程量视为承包人实际完成的工程量，据此计算工程价款。</w:t>
      </w:r>
    </w:p>
    <w:p w14:paraId="0657AE04">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12.3.4 总价合同的计量</w:t>
      </w:r>
    </w:p>
    <w:p w14:paraId="04360C3E">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除专用合同条款另有约定外，按月计量支付的总价合同，按照本项约定执行：</w:t>
      </w:r>
    </w:p>
    <w:p w14:paraId="489CE91C">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（1）承包人应于每月25日向监理人报送上月20日至当月19日已完成的工程量报告，并附具进度付款申请单、已完成工程量报表和有关资料。</w:t>
      </w:r>
    </w:p>
    <w:p w14:paraId="2406DBE4">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2）监理人应在收到承包人提交的工程量报告后7天内完成对承包人提交的工程量报表的审核并报送发包人，以确定当月实际完成的工程量。监理人对工程量有异议的，有权要求承包人进行共同复核或抽样复测。承包人应协助监理人进行复核或抽样复测并按监理人要求提供补充计量资料。承包人未按监理人要求参加复核或抽样复测的，监理人审核或修正的工程量视为承包人实际完成的工程量。</w:t>
      </w:r>
    </w:p>
    <w:p w14:paraId="2BD0DDC5">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（3）监理人未在收到承包人提交的工程量报表后的7天内完成复核的，承包人提交的工程量报告中的工程量视为承包人实际完成的工程量。</w:t>
      </w:r>
    </w:p>
    <w:p w14:paraId="341C77F2">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12.3.5 总价合同采用支付分解表计量支付的，可以按照第12.3.4项〔总价合同的计量〕约定进行计量，但合同价款按照支付分解表进行支付。</w:t>
      </w:r>
    </w:p>
    <w:p w14:paraId="11E83171">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12.3.6 其他价格形式合同的计量</w:t>
      </w:r>
    </w:p>
    <w:p w14:paraId="07FBC416">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合同当事人可在专用合同条款中约定其他价格形式合同的计量方式和程序。</w:t>
      </w:r>
    </w:p>
    <w:p w14:paraId="664170C4">
      <w:pPr>
        <w:pStyle w:val="7"/>
        <w:spacing w:before="0" w:beforeAutospacing="0" w:after="0" w:afterAutospacing="0" w:line="360" w:lineRule="auto"/>
        <w:ind w:firstLine="422" w:firstLineChars="200"/>
        <w:rPr>
          <w:color w:val="auto"/>
          <w:sz w:val="21"/>
          <w:szCs w:val="21"/>
          <w:highlight w:val="none"/>
        </w:rPr>
      </w:pPr>
      <w:bookmarkStart w:id="638" w:name="_Toc296503101"/>
      <w:bookmarkStart w:id="639" w:name="_Toc296346602"/>
      <w:bookmarkStart w:id="640" w:name="_Toc532377272"/>
      <w:bookmarkStart w:id="641" w:name="_Toc351203584"/>
      <w:bookmarkStart w:id="642" w:name="_Toc337558803"/>
      <w:r>
        <w:rPr>
          <w:rFonts w:hint="eastAsia"/>
          <w:color w:val="auto"/>
          <w:sz w:val="21"/>
          <w:szCs w:val="21"/>
          <w:highlight w:val="none"/>
        </w:rPr>
        <w:t>12.4工程进度款支</w:t>
      </w:r>
      <w:bookmarkEnd w:id="638"/>
      <w:bookmarkEnd w:id="639"/>
      <w:r>
        <w:rPr>
          <w:rFonts w:hint="eastAsia"/>
          <w:color w:val="auto"/>
          <w:sz w:val="21"/>
          <w:szCs w:val="21"/>
          <w:highlight w:val="none"/>
        </w:rPr>
        <w:t>付</w:t>
      </w:r>
      <w:bookmarkEnd w:id="640"/>
      <w:bookmarkEnd w:id="641"/>
    </w:p>
    <w:bookmarkEnd w:id="642"/>
    <w:p w14:paraId="517E7899">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12.4.1 付款周期</w:t>
      </w:r>
    </w:p>
    <w:p w14:paraId="5706D545">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除专用合同条款另有约定外，付款周期应按照第12.3.2项〔计量周期〕的约定与计量周期保持一致。</w:t>
      </w:r>
    </w:p>
    <w:p w14:paraId="7F6840F8">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12.4.2 进度付款申请单的编制</w:t>
      </w:r>
    </w:p>
    <w:p w14:paraId="26C909D0">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除专用合同条款另有约定外，进度付款申请单应包括下列内容：</w:t>
      </w:r>
    </w:p>
    <w:p w14:paraId="45A5D62D">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（1）截至本次付款周期已完成工作对应的金额；</w:t>
      </w:r>
    </w:p>
    <w:p w14:paraId="28B5E1B1">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（2）根据第10条〔变更〕应增加和扣减的变更金额；</w:t>
      </w:r>
    </w:p>
    <w:p w14:paraId="37AE0D4A">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（3）根据第12.2款〔预付款〕约定应支付的预付款和扣减的返还预付款；</w:t>
      </w:r>
    </w:p>
    <w:p w14:paraId="3A97C102">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（4）根据第15.3款〔质量保证金〕约定应扣减的质量保证金；</w:t>
      </w:r>
    </w:p>
    <w:p w14:paraId="0571C2DC">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（5）根据第19条〔索赔〕应增加和扣减的索赔金额；</w:t>
      </w:r>
    </w:p>
    <w:p w14:paraId="6E81E1EF">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（6）对已签发的进度款支付证书中出现错误的修正，应在本次进度付款中支付或扣除的金额；</w:t>
      </w:r>
    </w:p>
    <w:p w14:paraId="6E874FDF">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（7）根据合同约定应增加和扣减的其他金额。</w:t>
      </w:r>
    </w:p>
    <w:p w14:paraId="05A294CA">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12.4.3 进度付款申请单的提交</w:t>
      </w:r>
    </w:p>
    <w:p w14:paraId="467EC090">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（1）单价合同进度付款申请单的提交</w:t>
      </w:r>
    </w:p>
    <w:p w14:paraId="227603D8">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单价合同的进度付款申请单，按照第12.3.3项〔单价合同的计量〕约定的时间按月向监理人提交，并附上已完成工程量报表和有关资料。单价合同中的总价项目按月进行支付分解，并汇总列入当期进度付款申请单。</w:t>
      </w:r>
    </w:p>
    <w:p w14:paraId="164E2103">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（2）总价合同进度付款申请单的提交</w:t>
      </w:r>
    </w:p>
    <w:p w14:paraId="3DCE22B4">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总价合同按月计量支付的，承包人按照第12.3.4项〔总价合同的计量〕约定的时间按月向监理人提交进度付款申请单，并附上已完成工程量报表和有关资料。</w:t>
      </w:r>
    </w:p>
    <w:p w14:paraId="2940284E">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总价合同按支付分解表支付的，承包人应按照第12.4.6项〔支付分解表〕及第12.4.2项〔进度付款申请单的编制〕的约定向监理人提交进度付款申请单。</w:t>
      </w:r>
    </w:p>
    <w:p w14:paraId="2334EC29">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（3）其他价格形式合同的进度付款申请单的提交</w:t>
      </w:r>
    </w:p>
    <w:p w14:paraId="3D68C241">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合同当事人可在专用合同条款中约定其他价格形式合同的进度付款申请单的编制和提交程序。</w:t>
      </w:r>
    </w:p>
    <w:p w14:paraId="7B52801C">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12.4.4 进度款审核和支付</w:t>
      </w:r>
    </w:p>
    <w:p w14:paraId="41E15920">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1）除专用合同条款另有约定外，监理人应在收到承包人进度付款申请单以及相关资料后7天内完成审查并报送发包人，发包人应在收到后7天内完成审批并签发进度款支付证书。发包人逾期未完成审批且未提出异议的，视为已签发进度款支付证书。</w:t>
      </w:r>
    </w:p>
    <w:p w14:paraId="2BC8800B">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发包人和监理人对承包人的进度付款申请单有异议的，有权要求承包人修正和提供补充资料，承包人应提交修正后的进度付款申请单。监理人应在收到承包人修正后的进度付款申请单及相关资料后7天内完成审查并报送发包人，发包人应在收到监理人报送的进度付款申请单及相关资料后7天内，向承包人签发无异议部分的临时进度款支付证书。存在争议的部分，按照第20条〔争议解决〕的约定处理。</w:t>
      </w:r>
    </w:p>
    <w:p w14:paraId="4B684908">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（2）除专用合同条款另有约定外，发包人应在进度款支付证书或临时进度款支付证书签发后14天内完成支付，发包人逾期支付进度款的，应按照中国人民银行发布的同期同类贷款基准利率支付违约金。</w:t>
      </w:r>
    </w:p>
    <w:p w14:paraId="50CB3014">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（3）发包人签发进度款支付证书或临时进度款支付证书，不表明发包人已同意、批准或接受了承包人完成的相应部分的工作。</w:t>
      </w:r>
    </w:p>
    <w:p w14:paraId="0026B8A5">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12.4.5 进度付款的修正</w:t>
      </w:r>
    </w:p>
    <w:p w14:paraId="5E2C2D63">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在对已签发的进度款支付证书进行阶段汇总和复核中发现错误、遗漏或重复的，发包人和承包人均有权提出修正申请。经发包人和承包人同意的修正，应在下期进度付款中支付或扣除。</w:t>
      </w:r>
    </w:p>
    <w:p w14:paraId="441DE0FC">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12.4.6 支付分解表</w:t>
      </w:r>
    </w:p>
    <w:p w14:paraId="6F970FF3">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1.支付分解表的编制要求</w:t>
      </w:r>
    </w:p>
    <w:p w14:paraId="3BF375E5">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（1）支付分解表中所列的每期付款金额，应为第12.4.2项〔进度付款申请单的编制〕第（1）目的估算金额；</w:t>
      </w:r>
    </w:p>
    <w:p w14:paraId="01487E09">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（2）实际进度与施工进度计划不一致的，合同当事人可按照第4.4款〔商定或确定〕修改支付分解表；</w:t>
      </w:r>
    </w:p>
    <w:p w14:paraId="4F9C85B2">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（3）不采用支付分解表的，承包人应向发包人和监理人提交按季度编制的支付估算分解表，用于支付参考。</w:t>
      </w:r>
    </w:p>
    <w:p w14:paraId="4134C16F">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2.总价合同支付分解表的编制与审批</w:t>
      </w:r>
    </w:p>
    <w:p w14:paraId="68A932BF">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1）除专用合同条款另有约定外，承包人应根据第7.2款〔施工进度计划〕约定的施工进度计划、签约合同价和工程量等因素对总价合同按月进行分解，编制支付分解表。承包人应当在收到监理人和发包人批准的施工进度计划后7天内，将支付分解表及编制支付分解表的支持性资料报送监理人。</w:t>
      </w:r>
    </w:p>
    <w:p w14:paraId="41039663">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（2）监理人应在收到支付分解表后7天内完成审核并报送发包人。发包人应在收到经监理人审核的支付分解表后7天内完成审批，经发包人批准的支付分解表为有约束力的支付分解表。</w:t>
      </w:r>
    </w:p>
    <w:p w14:paraId="469AC01A">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（3）发包人逾期未完成支付分解表审批的，也未及时要求承包人进行修正和提供补充资料的，则承包人提交的支付分解表视为已经获得发包人批准。</w:t>
      </w:r>
    </w:p>
    <w:p w14:paraId="32906609">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3.单价合同的总价项目支付分解表的编制与审批</w:t>
      </w:r>
    </w:p>
    <w:p w14:paraId="1EF0219D">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除专用合同条款另有约定外，单价合同的总价项目，由承包人根据施工进度计划和总价项目的总价构成、费用性质、计划发生时间和相应工程量等因素按月进行分解，形成支付分解表，其编制与审批参照总价合同支付分解表的编制与审批执行。</w:t>
      </w:r>
    </w:p>
    <w:p w14:paraId="35140C5E">
      <w:pPr>
        <w:pStyle w:val="7"/>
        <w:spacing w:before="0" w:beforeAutospacing="0" w:after="0" w:afterAutospacing="0" w:line="360" w:lineRule="auto"/>
        <w:ind w:firstLine="422" w:firstLineChars="200"/>
        <w:rPr>
          <w:color w:val="auto"/>
          <w:sz w:val="21"/>
          <w:szCs w:val="21"/>
          <w:highlight w:val="none"/>
        </w:rPr>
      </w:pPr>
      <w:bookmarkStart w:id="643" w:name="_Toc532377273"/>
      <w:r>
        <w:rPr>
          <w:rFonts w:hint="eastAsia"/>
          <w:color w:val="auto"/>
          <w:sz w:val="21"/>
          <w:szCs w:val="21"/>
          <w:highlight w:val="none"/>
        </w:rPr>
        <w:t>12.5支付账户</w:t>
      </w:r>
      <w:bookmarkEnd w:id="643"/>
    </w:p>
    <w:p w14:paraId="3F51F0B6">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发包人应将合同价款支付至合同协议书中约定的承包人账户。</w:t>
      </w:r>
    </w:p>
    <w:p w14:paraId="74E239DF">
      <w:pPr>
        <w:pStyle w:val="6"/>
        <w:keepNext/>
        <w:keepLines/>
        <w:spacing w:before="120" w:beforeLines="50" w:after="120" w:afterLines="50" w:line="360" w:lineRule="auto"/>
        <w:jc w:val="both"/>
        <w:rPr>
          <w:bCs/>
          <w:color w:val="auto"/>
          <w:szCs w:val="21"/>
          <w:highlight w:val="none"/>
        </w:rPr>
      </w:pPr>
      <w:bookmarkStart w:id="644" w:name="_Toc532375599"/>
      <w:bookmarkStart w:id="645" w:name="_Toc351203586"/>
      <w:bookmarkStart w:id="646" w:name="_Toc532377274"/>
      <w:bookmarkStart w:id="647" w:name="_Toc322522574"/>
      <w:bookmarkStart w:id="648" w:name="_Toc337558804"/>
      <w:bookmarkStart w:id="649" w:name="_Toc296503106"/>
      <w:bookmarkStart w:id="650" w:name="_Toc296346607"/>
      <w:r>
        <w:rPr>
          <w:rFonts w:hint="eastAsia"/>
          <w:color w:val="auto"/>
          <w:szCs w:val="21"/>
          <w:highlight w:val="none"/>
        </w:rPr>
        <w:t>13. 验收和工程试车</w:t>
      </w:r>
      <w:bookmarkEnd w:id="644"/>
      <w:bookmarkEnd w:id="645"/>
      <w:bookmarkEnd w:id="646"/>
    </w:p>
    <w:bookmarkEnd w:id="647"/>
    <w:bookmarkEnd w:id="648"/>
    <w:bookmarkEnd w:id="649"/>
    <w:bookmarkEnd w:id="650"/>
    <w:p w14:paraId="39B2317E">
      <w:pPr>
        <w:pStyle w:val="7"/>
        <w:spacing w:before="0" w:beforeAutospacing="0" w:after="0" w:afterAutospacing="0" w:line="360" w:lineRule="auto"/>
        <w:ind w:firstLine="422" w:firstLineChars="200"/>
        <w:rPr>
          <w:color w:val="auto"/>
          <w:sz w:val="21"/>
          <w:szCs w:val="21"/>
          <w:highlight w:val="none"/>
        </w:rPr>
      </w:pPr>
      <w:bookmarkStart w:id="651" w:name="_Toc532377275"/>
      <w:bookmarkStart w:id="652" w:name="_Toc351203587"/>
      <w:bookmarkStart w:id="653" w:name="_Toc337558805"/>
      <w:bookmarkStart w:id="654" w:name="_Toc296503110"/>
      <w:bookmarkStart w:id="655" w:name="_Toc296346611"/>
      <w:r>
        <w:rPr>
          <w:rFonts w:hint="eastAsia"/>
          <w:color w:val="auto"/>
          <w:sz w:val="21"/>
          <w:szCs w:val="21"/>
          <w:highlight w:val="none"/>
        </w:rPr>
        <w:t>13.1分部分项工程验收</w:t>
      </w:r>
      <w:bookmarkEnd w:id="651"/>
      <w:bookmarkEnd w:id="652"/>
    </w:p>
    <w:bookmarkEnd w:id="653"/>
    <w:p w14:paraId="4CDC4DE3">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13.1.1 分部分项工程质量应符合国家有关工程施工验收规范、标准及合同约定，承包人应按照施工组织设计的要求完成分部分项工程施工。</w:t>
      </w:r>
    </w:p>
    <w:p w14:paraId="1851B452">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13.1.2 除专用合同条款另有约定外，分部分项工程经承包人自检合格并具备验收条件的，承包人应提前48小时通知监理人进行验收。监理人不能按时进行验收的，应在验收前24小时向承包人提交书面延期要求，但延期不能超过48小时。监理人未按时进行验收，也未提出延期要求的，承包人有权自行验收，监理人应认可验收结果。分部分项工程未经验收的，不得进入下一道工序施工。</w:t>
      </w:r>
    </w:p>
    <w:p w14:paraId="17377122">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分部分项工程的验收资料应当作为竣工资料的组成部分。</w:t>
      </w:r>
    </w:p>
    <w:p w14:paraId="7DD13D00">
      <w:pPr>
        <w:pStyle w:val="7"/>
        <w:spacing w:before="0" w:beforeAutospacing="0" w:after="0" w:afterAutospacing="0" w:line="360" w:lineRule="auto"/>
        <w:ind w:firstLine="422" w:firstLineChars="200"/>
        <w:rPr>
          <w:color w:val="auto"/>
          <w:sz w:val="21"/>
          <w:szCs w:val="21"/>
          <w:highlight w:val="none"/>
        </w:rPr>
      </w:pPr>
      <w:bookmarkStart w:id="656" w:name="_Toc351203588"/>
      <w:bookmarkStart w:id="657" w:name="_Toc532377276"/>
      <w:bookmarkStart w:id="658" w:name="_Toc337558806"/>
      <w:r>
        <w:rPr>
          <w:rFonts w:hint="eastAsia"/>
          <w:color w:val="auto"/>
          <w:sz w:val="21"/>
          <w:szCs w:val="21"/>
          <w:highlight w:val="none"/>
        </w:rPr>
        <w:t>13.2竣工验收</w:t>
      </w:r>
      <w:bookmarkEnd w:id="656"/>
      <w:bookmarkEnd w:id="657"/>
    </w:p>
    <w:bookmarkEnd w:id="654"/>
    <w:bookmarkEnd w:id="655"/>
    <w:bookmarkEnd w:id="658"/>
    <w:p w14:paraId="3A95BEFF">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13.2.1竣工验收条件</w:t>
      </w:r>
    </w:p>
    <w:p w14:paraId="7B058600">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工程具备以下条件的，承包人可以申请竣工验收：</w:t>
      </w:r>
    </w:p>
    <w:p w14:paraId="4895B5BD">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（1）除发包人同意的甩项工作和缺陷修补工作外，合同范围内的全部工程以及有关工作，包括合同要求的试验、试运行以及检验均已完成，并符合合同要求；</w:t>
      </w:r>
    </w:p>
    <w:p w14:paraId="1D979746">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（2）已按合同约定编制了甩项工作和缺陷修补工作清单以及相应的施工计划；</w:t>
      </w:r>
    </w:p>
    <w:p w14:paraId="10BB55BA">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（3）已按合同约定的内容和份数备齐竣工资料。</w:t>
      </w:r>
    </w:p>
    <w:p w14:paraId="4041FB49">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13.2.2竣工验收程序</w:t>
      </w:r>
    </w:p>
    <w:p w14:paraId="3F4F86B3">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除专用合同条款另有约定外，承包人申请竣工验收的，应当按照以下程序进行：</w:t>
      </w:r>
    </w:p>
    <w:p w14:paraId="623F116D">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1）承包人向监理人报送竣工验收申请报告，监理人应在收到竣工验收申请报告后14天内完成审查并报送发包人。监理人审查后认为尚不具备验收条件的，应通知承包人在竣工验收前承包人还需完成的工作内容，承包人应在完成监理人通知的全部工作内容后，再次提交竣工验收申请报告。</w:t>
      </w:r>
    </w:p>
    <w:p w14:paraId="5DD59656">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（2）监理人审查后认为已具备竣工验收条件的，应将竣工验收申请报告提交发包人，发包人应在收到经监理人审核的竣工验收申请报告后28天内审批完毕并组织监理人、承包人、设计人等相关单位完成竣工验收。</w:t>
      </w:r>
    </w:p>
    <w:p w14:paraId="5EAA6A52">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（3）竣工验收合格的，发包人应在验收合格后14天内向承包人签发工程接收证书。发包人无正当理由逾期不颁发工程接收证书的，自验收合格后第15天起视为已颁发工程接收证书。</w:t>
      </w:r>
    </w:p>
    <w:p w14:paraId="35BE4FE1">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4）竣工验收不合格的，监理人应按照验收意见发出指示，要求承包人对不合格工程返工、修复或采取其他补救措施，由此增加的费用和（或）延误的工期由承包人承担。承包人在完成不合格工程的返工、修复或采取其他补救措施后，应重新提交竣工验收申请报告，并按本项约定的程序重新进行验收。</w:t>
      </w:r>
    </w:p>
    <w:p w14:paraId="483D448E">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（5）工程未经验收或验收不合格，发包人擅自使用的，应在转移占有工程后7天内向承包人颁发工程接收证书；发包人无正当理由逾期不颁发工程接收证书的，自转移占有后第15天起视为已颁发工程接收证书。</w:t>
      </w:r>
    </w:p>
    <w:p w14:paraId="3DB40CF5">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除专用合同条款另有约定外，发包人不按照本项约定组织竣工验收、颁发工程接收证书的，每逾期一天，应以签约合同价为基数，按照中国人民银行发布的同期同类贷款基准利率支付违约金。</w:t>
      </w:r>
    </w:p>
    <w:p w14:paraId="110A7247">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13.2.3竣工日期</w:t>
      </w:r>
    </w:p>
    <w:p w14:paraId="508C047D">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工程经竣工验收合格的，以承包人提交竣工验收申请报告之日为实际竣工日期，并在工程接收证书中载明；因发包人原因，未在监理人收到承包人提交的竣工验收申请报告42天内完成竣工验收，或完成竣工验收不予签发工程接收证书的，以提交竣工验</w:t>
      </w:r>
      <w:bookmarkStart w:id="659" w:name="#go14"/>
      <w:bookmarkEnd w:id="659"/>
      <w:r>
        <w:rPr>
          <w:rFonts w:hint="eastAsia" w:ascii="宋体" w:hAnsi="宋体"/>
          <w:color w:val="auto"/>
          <w:kern w:val="0"/>
          <w:szCs w:val="21"/>
          <w:highlight w:val="none"/>
        </w:rPr>
        <w:t>收申请报告的日期为实际竣工日期；工程未经竣工验收，发包人擅自使用的，以转移占有工程之日为实际竣工日期。</w:t>
      </w:r>
    </w:p>
    <w:p w14:paraId="380A4E14">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13.2.4 拒绝接收全部或部分工程</w:t>
      </w:r>
    </w:p>
    <w:p w14:paraId="63E9D815">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对于竣工验收不合格的工程，承包人完成整改后，应当重新进行竣工验收，经重新组织验收仍不合格的且无法采取措施补救的，则发包人可以拒绝接收不合格工程，因不合格工程导致其他工程不能正常使用的，承包人应采取措施确保相关工程的正常使用，由此增加的费用和（或）延误的工期由承包人承担。</w:t>
      </w:r>
    </w:p>
    <w:p w14:paraId="2EAD3C25">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13.2.5 移交、接收全部与部分工程</w:t>
      </w:r>
    </w:p>
    <w:p w14:paraId="195E7AE4">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除专用合同条款另有约定外，合同当事人应当在颁发工程接收证书后7天内完成工程的移交。</w:t>
      </w:r>
    </w:p>
    <w:p w14:paraId="68BEAEAB">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发包人无正当理由不接收工程的，发包人自应当接收工程之日起，承担工程照管、成品保护、保管等与工程有关的各项费用，合同当事人可以在专用合同条款中另行约定发包人逾期接收工程的违约责任。</w:t>
      </w:r>
    </w:p>
    <w:p w14:paraId="7CA0A33E">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承包人无正当理由不移交工程的，承包人应承担工程照管、成品保护、保管等与工程有关的各项费用，合同当事人可以在专用合同条款中另行约定承包人无正当理由不移交工程的违约责任。</w:t>
      </w:r>
    </w:p>
    <w:p w14:paraId="3768B91C">
      <w:pPr>
        <w:pStyle w:val="7"/>
        <w:spacing w:before="0" w:beforeAutospacing="0" w:after="0" w:afterAutospacing="0" w:line="360" w:lineRule="auto"/>
        <w:ind w:firstLine="422" w:firstLineChars="200"/>
        <w:rPr>
          <w:color w:val="auto"/>
          <w:sz w:val="21"/>
          <w:szCs w:val="21"/>
          <w:highlight w:val="none"/>
        </w:rPr>
      </w:pPr>
      <w:bookmarkStart w:id="660" w:name="_Toc351203589"/>
      <w:bookmarkStart w:id="661" w:name="_Toc532377277"/>
      <w:bookmarkStart w:id="662" w:name="_Toc337558807"/>
      <w:bookmarkStart w:id="663" w:name="_Toc296503111"/>
      <w:bookmarkStart w:id="664" w:name="_Toc296346612"/>
      <w:r>
        <w:rPr>
          <w:rFonts w:hint="eastAsia"/>
          <w:color w:val="auto"/>
          <w:sz w:val="21"/>
          <w:szCs w:val="21"/>
          <w:highlight w:val="none"/>
        </w:rPr>
        <w:t>13.3工程试车</w:t>
      </w:r>
      <w:bookmarkEnd w:id="660"/>
      <w:bookmarkEnd w:id="661"/>
    </w:p>
    <w:bookmarkEnd w:id="662"/>
    <w:bookmarkEnd w:id="663"/>
    <w:bookmarkEnd w:id="664"/>
    <w:p w14:paraId="5EDCF0AB">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13.3.1试车程序</w:t>
      </w:r>
    </w:p>
    <w:p w14:paraId="7E383E9B">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工程需要试车的，除专用合同条款另有约定外，试车内容应与承包人承包范围相一致，试车费用由承包人承担。工程试车应按如下程序进行：</w:t>
      </w:r>
    </w:p>
    <w:p w14:paraId="5BB4B67D">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1）具备单机无负荷试车条件，承包人组织试车，并在试车前48小时书面通知监理人，通知中应载明试车内容、时间、地点。承包人准备试车记录，发包人根据承包人要求为试车提供必要条件。试车合格的，监理人在试车记录上签名。监理人在试车合格后不在试车记录上签名，自试车结束满24小时后视为监理人已经认可试车记录，承包人可继续施工或办理竣工验收手续。</w:t>
      </w:r>
    </w:p>
    <w:p w14:paraId="77B8183E">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监理人不能按时参加试车，应在试车前24小时以书面形式向承包人提出延期要求，但延期不能超过48小时，由此导致工期延误的，工期应予以顺延。监理人未能在前述期限内提出延期要求，又不参加试车的，视为认可试车记录。</w:t>
      </w:r>
    </w:p>
    <w:p w14:paraId="5C353AF5">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2）具备无负荷联动试车条件，发包人组织试车，并在试车前48小时以书面形式通知承包人。通知中应载明试车内容、时间、地点和对承包人的要求，承包人按要求做好准备工作。试车合格，合同当事人在试车记录上签名。承包人无正当理由不参加试车的，视为认可试车记录。</w:t>
      </w:r>
    </w:p>
    <w:p w14:paraId="32CAB472">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13.3.2 试车中的责任</w:t>
      </w:r>
    </w:p>
    <w:p w14:paraId="2535409B">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因设计原因导致试车达不到验收要求，发包人应要求设计人修改设计，承包人按修改后的设计重新安装。发包人承担修改设计、拆除及重新安装的全部费用，工期相应顺延。因承包人原因导致试车达不到验收要求，承包人按监理人要求重新安装和试车，并承担重新安装和试车的费用，工期不予顺延。</w:t>
      </w:r>
    </w:p>
    <w:p w14:paraId="30B69B0B">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因工程设备制造原因导致试车达不到验收要求的，由采购该工程设备的合同当事人负责重新购置或修理，承包人负责拆除和重新安装，由此增加的修理、重新购置、拆除及重新安装的费用及延误的工期由采购该工程设备的合同当事人承担。</w:t>
      </w:r>
    </w:p>
    <w:p w14:paraId="588AAAC0">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13.3.3 投料试车</w:t>
      </w:r>
    </w:p>
    <w:p w14:paraId="057616A5">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如需进行投料试车的，发包人应在工程竣工验收后组织投料试车。发包人要求在工程竣工验收前进行或需要承包人配合时，应征得承包人同意，并在专用合同条款中约定有关事项。</w:t>
      </w:r>
    </w:p>
    <w:p w14:paraId="28CA02CD">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投料试车合格的，费用由发包人承担；因承包人原因造成投料试车不合格的，承包人应按照发包人要求进行整改，由此产生的整改费用由承包人承担；非因承包人原因导致投料试车不合格的，如发包人要求承包人进行整改的，由此产生的费用由发包人承担。</w:t>
      </w:r>
    </w:p>
    <w:p w14:paraId="4B230995">
      <w:pPr>
        <w:pStyle w:val="7"/>
        <w:spacing w:before="0" w:beforeAutospacing="0" w:after="0" w:afterAutospacing="0" w:line="360" w:lineRule="auto"/>
        <w:ind w:firstLine="422" w:firstLineChars="200"/>
        <w:rPr>
          <w:color w:val="auto"/>
          <w:sz w:val="21"/>
          <w:szCs w:val="21"/>
          <w:highlight w:val="none"/>
        </w:rPr>
      </w:pPr>
      <w:bookmarkStart w:id="665" w:name="_Toc532377278"/>
      <w:r>
        <w:rPr>
          <w:rFonts w:hint="eastAsia"/>
          <w:color w:val="auto"/>
          <w:sz w:val="21"/>
          <w:szCs w:val="21"/>
          <w:highlight w:val="none"/>
        </w:rPr>
        <w:t>13.4提前交付单位工程的验收</w:t>
      </w:r>
      <w:bookmarkEnd w:id="665"/>
    </w:p>
    <w:p w14:paraId="68EBD114">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13.4.1 发包人需要在工程竣工前使用单位工程的，或承包人提出提前交付已经竣工的单位工程且经发包人同意的，可进行单位工程验收，验收的程序按照第13.2款〔竣工验收〕的约定进行。</w:t>
      </w:r>
    </w:p>
    <w:p w14:paraId="3B2C7CDD">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验收合格后，由监理人向承包人出具经发包人签认的单位工程接收证书。已签发单位工程接收证书的单位工程由发包人负责照管。单位工程的验收成果和结论作为整体工程竣工验收申请报告的附件。</w:t>
      </w:r>
    </w:p>
    <w:p w14:paraId="05BC3297">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13.4.2 发包人要求在工程竣工前交付单位工程，由此导致承包人费用增加和（或）工期延误的，由发包人承担由此增加的费用和（或）延误的工期，并支付承包人合理的利润。</w:t>
      </w:r>
    </w:p>
    <w:p w14:paraId="0E4A815E">
      <w:pPr>
        <w:pStyle w:val="7"/>
        <w:spacing w:before="0" w:beforeAutospacing="0" w:after="0" w:afterAutospacing="0" w:line="360" w:lineRule="auto"/>
        <w:ind w:firstLine="422" w:firstLineChars="200"/>
        <w:rPr>
          <w:color w:val="auto"/>
          <w:sz w:val="21"/>
          <w:szCs w:val="21"/>
          <w:highlight w:val="none"/>
        </w:rPr>
      </w:pPr>
      <w:bookmarkStart w:id="666" w:name="_Toc532377279"/>
      <w:bookmarkStart w:id="667" w:name="_Toc351203591"/>
      <w:r>
        <w:rPr>
          <w:rFonts w:hint="eastAsia"/>
          <w:color w:val="auto"/>
          <w:sz w:val="21"/>
          <w:szCs w:val="21"/>
          <w:highlight w:val="none"/>
        </w:rPr>
        <w:t>13.5 施工期运行</w:t>
      </w:r>
      <w:bookmarkEnd w:id="666"/>
      <w:bookmarkEnd w:id="667"/>
    </w:p>
    <w:p w14:paraId="12621EE6">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13.5.1 施工期运行是指合同工程尚未全部竣工，其中某项或某几项单位工程或工程设备安装已竣工，根据专用合同条款约定，需要投入施工期运行的，经发包人按第13.4款〔提前交付单位工程的验收〕的约定验收合格，证明能确保安全后，才能在施工期投入运行。</w:t>
      </w:r>
    </w:p>
    <w:p w14:paraId="77F980F2">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13.5.2 在施工期运行中发现工程或工程设备损坏或存在缺陷的，由承包人按第15.2款〔缺陷责任期〕约定进行修复。</w:t>
      </w:r>
    </w:p>
    <w:p w14:paraId="27BE3F56">
      <w:pPr>
        <w:pStyle w:val="7"/>
        <w:spacing w:before="0" w:beforeAutospacing="0" w:after="0" w:afterAutospacing="0" w:line="360" w:lineRule="auto"/>
        <w:ind w:firstLine="422" w:firstLineChars="200"/>
        <w:rPr>
          <w:color w:val="auto"/>
          <w:sz w:val="21"/>
          <w:szCs w:val="21"/>
          <w:highlight w:val="none"/>
        </w:rPr>
      </w:pPr>
      <w:bookmarkStart w:id="668" w:name="_Toc296503112"/>
      <w:bookmarkStart w:id="669" w:name="_Toc296346613"/>
      <w:bookmarkStart w:id="670" w:name="_Toc351203592"/>
      <w:bookmarkStart w:id="671" w:name="_Toc532377280"/>
      <w:bookmarkStart w:id="672" w:name="_Toc337558809"/>
      <w:r>
        <w:rPr>
          <w:rFonts w:hint="eastAsia"/>
          <w:color w:val="auto"/>
          <w:sz w:val="21"/>
          <w:szCs w:val="21"/>
          <w:highlight w:val="none"/>
        </w:rPr>
        <w:t>13.6 竣工退</w:t>
      </w:r>
      <w:bookmarkEnd w:id="668"/>
      <w:bookmarkEnd w:id="669"/>
      <w:r>
        <w:rPr>
          <w:rFonts w:hint="eastAsia"/>
          <w:color w:val="auto"/>
          <w:sz w:val="21"/>
          <w:szCs w:val="21"/>
          <w:highlight w:val="none"/>
        </w:rPr>
        <w:t>场</w:t>
      </w:r>
      <w:bookmarkEnd w:id="670"/>
      <w:bookmarkEnd w:id="671"/>
    </w:p>
    <w:bookmarkEnd w:id="672"/>
    <w:p w14:paraId="68B2B892">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13.6.1 竣工退场</w:t>
      </w:r>
    </w:p>
    <w:p w14:paraId="570FDDE4">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颁发工程接收证书后，承包人应按以下要求对施工现场进行清理：</w:t>
      </w:r>
    </w:p>
    <w:p w14:paraId="38457929">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（1）施工现场内残留的垃圾已全部清除出场；</w:t>
      </w:r>
    </w:p>
    <w:p w14:paraId="66CA1EB4">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（2）临时工程已拆除，场地已进行清理、平整或复原；</w:t>
      </w:r>
    </w:p>
    <w:p w14:paraId="535D6EF8">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（3）按合同约定应撤离的人员、承包人施工设备和剩余的材料，包括废弃的施工设备和材料，已按计划撤离施工现场；</w:t>
      </w:r>
    </w:p>
    <w:p w14:paraId="60E383C3">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（4）施工现场周边及其附近道路、河道的施工堆积物，已全部清理；</w:t>
      </w:r>
    </w:p>
    <w:p w14:paraId="3726B79B">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（5）施工现场其他场地清理工作已全部完成。</w:t>
      </w:r>
    </w:p>
    <w:p w14:paraId="2D758311">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施工现场的竣工退场费用由承包人承担。承包人应在专用合同条款约定的期限内完成竣工退场，逾期未完成的，发包人有权出售或另行处理承包人遗留的物品，由此支出的费用由承包人承担，发包人出售承包人遗留物品所得款项在扣除必要费用后应返还承包人。</w:t>
      </w:r>
    </w:p>
    <w:p w14:paraId="30EF7F8A">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13.6.2 地表还原</w:t>
      </w:r>
    </w:p>
    <w:p w14:paraId="6CEED82D">
      <w:pPr>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承包人应按发包人要求恢复临时占地及清理场地，承包人未按发包人的要求恢复临时占地，或者场地清理未达到合同约定要求的，发包人有权委托其他人恢复或清理，所发生的费用由承包人承担。</w:t>
      </w:r>
    </w:p>
    <w:p w14:paraId="537124FF">
      <w:pPr>
        <w:pStyle w:val="6"/>
        <w:keepNext/>
        <w:keepLines/>
        <w:spacing w:before="120" w:beforeLines="50" w:after="120" w:afterLines="50" w:line="360" w:lineRule="auto"/>
        <w:jc w:val="both"/>
        <w:rPr>
          <w:bCs/>
          <w:color w:val="auto"/>
          <w:szCs w:val="21"/>
          <w:highlight w:val="none"/>
        </w:rPr>
      </w:pPr>
      <w:bookmarkStart w:id="673" w:name="_Toc351203593"/>
      <w:bookmarkStart w:id="674" w:name="_Toc532375600"/>
      <w:bookmarkStart w:id="675" w:name="_Toc532377281"/>
      <w:bookmarkStart w:id="676" w:name="_Toc337558810"/>
      <w:bookmarkStart w:id="677" w:name="_Toc296503113"/>
      <w:bookmarkStart w:id="678" w:name="_Toc296346614"/>
      <w:r>
        <w:rPr>
          <w:rFonts w:hint="eastAsia"/>
          <w:color w:val="auto"/>
          <w:szCs w:val="21"/>
          <w:highlight w:val="none"/>
        </w:rPr>
        <w:t>14. 竣工结算</w:t>
      </w:r>
      <w:bookmarkEnd w:id="673"/>
      <w:bookmarkEnd w:id="674"/>
      <w:bookmarkEnd w:id="675"/>
    </w:p>
    <w:bookmarkEnd w:id="676"/>
    <w:p w14:paraId="4B7DA9C2">
      <w:pPr>
        <w:pStyle w:val="7"/>
        <w:spacing w:before="0" w:beforeAutospacing="0" w:after="0" w:afterAutospacing="0" w:line="360" w:lineRule="auto"/>
        <w:ind w:firstLine="422" w:firstLineChars="200"/>
        <w:rPr>
          <w:color w:val="auto"/>
          <w:sz w:val="21"/>
          <w:szCs w:val="21"/>
          <w:highlight w:val="none"/>
        </w:rPr>
      </w:pPr>
      <w:bookmarkStart w:id="679" w:name="_Toc532377282"/>
      <w:bookmarkStart w:id="680" w:name="_Toc351203594"/>
      <w:bookmarkStart w:id="681" w:name="_Toc337558811"/>
      <w:r>
        <w:rPr>
          <w:rFonts w:hint="eastAsia"/>
          <w:color w:val="auto"/>
          <w:sz w:val="21"/>
          <w:szCs w:val="21"/>
          <w:highlight w:val="none"/>
        </w:rPr>
        <w:t>14.1 竣工结算申请</w:t>
      </w:r>
      <w:bookmarkEnd w:id="679"/>
      <w:bookmarkEnd w:id="680"/>
    </w:p>
    <w:bookmarkEnd w:id="681"/>
    <w:p w14:paraId="696A25ED">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除专用合同条款另有约定外，承包人应在工程竣工验收合格后28天内向发包人和监理人提交竣工结算申请单，并提交完整的结算资料，有关竣工结算申请单的资料清单和份数等要求由合同当事人在专用合同条款中约定。</w:t>
      </w:r>
    </w:p>
    <w:p w14:paraId="271A0B96">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除专用合同条款另有约定外，竣工结算申请单应包括以下内容：</w:t>
      </w:r>
    </w:p>
    <w:p w14:paraId="253B8E5D">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（1）竣工结算合同价格；</w:t>
      </w:r>
    </w:p>
    <w:p w14:paraId="058A51FE">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（2）发包人已支付承包人的款项；</w:t>
      </w:r>
    </w:p>
    <w:p w14:paraId="62522633">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 xml:space="preserve">（3）应扣留的质量保证金。已缴纳履约保证金的或提供其他工程质量担保方式的除外； </w:t>
      </w:r>
    </w:p>
    <w:p w14:paraId="364D57AB">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（4）发包人应支付承包人的合同价款。</w:t>
      </w:r>
    </w:p>
    <w:p w14:paraId="3B7BB9A3">
      <w:pPr>
        <w:pStyle w:val="7"/>
        <w:spacing w:before="0" w:beforeAutospacing="0" w:after="0" w:afterAutospacing="0" w:line="360" w:lineRule="auto"/>
        <w:ind w:firstLine="422" w:firstLineChars="200"/>
        <w:rPr>
          <w:color w:val="auto"/>
          <w:sz w:val="21"/>
          <w:szCs w:val="21"/>
          <w:highlight w:val="none"/>
        </w:rPr>
      </w:pPr>
      <w:bookmarkStart w:id="682" w:name="_Toc532377283"/>
      <w:bookmarkStart w:id="683" w:name="_Toc351203595"/>
      <w:bookmarkStart w:id="684" w:name="_Toc337558812"/>
      <w:r>
        <w:rPr>
          <w:rFonts w:hint="eastAsia"/>
          <w:color w:val="auto"/>
          <w:sz w:val="21"/>
          <w:szCs w:val="21"/>
          <w:highlight w:val="none"/>
        </w:rPr>
        <w:t>14.2 竣工结算审核</w:t>
      </w:r>
      <w:bookmarkEnd w:id="682"/>
      <w:bookmarkEnd w:id="683"/>
    </w:p>
    <w:bookmarkEnd w:id="684"/>
    <w:p w14:paraId="20140E57">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1）除专用合同条款另有约定外，监理人应在收到竣工结算申请单后14天内完成核查并报送发包人。发包人应在收到监理人提交的经审核的竣工结算申请单后14天内完成审批，并由监理人向承包人签发经发包人签认的竣工付款证书。监理人或发包人对竣工结算申请单有异议的，有权要求承包人进行修正和提供补充资料，承包人应提交修正后的竣工结算申请单。</w:t>
      </w:r>
    </w:p>
    <w:p w14:paraId="517C89F9">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发包人在收到承包人提交竣工结算申请书后28天内未完成审批且未提出异议的，视为发包人认可承包人提交的竣工结算申请单，并自发包人收到承包人提交的竣工结算申请单后第29天起视为已签发竣工付款证书。</w:t>
      </w:r>
    </w:p>
    <w:p w14:paraId="3B9132D0">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（2）除专用合同条款另有约定外，发包人应在签发竣工付款证书后的14 天内，完成对承包人的竣工付款。发包人逾期支付的，按照中国人民银行发布的同期同类贷款基准利率支付违约金；逾期支付超过56天的，按照中国人民银行发布的同期同类贷款基准利率的两倍支付违约金。</w:t>
      </w:r>
    </w:p>
    <w:p w14:paraId="7220E2BD">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3）承包人对发包人签认的竣工付款证书有异议的，对于有异议部分应在收到发包人签认的竣工付款证书后7天内提出异议，并由合同当事人按照专用合同条款约定的方式和程序进行复核，或按照第20条〔争议解决〕约定处理。对于无异议部分，发包人应签发临时竣工付款证书，并按本款第（2）项完成付款。承包人逾期未提出异议的，视为认可发包人的审批结果。</w:t>
      </w:r>
    </w:p>
    <w:p w14:paraId="33E09C53">
      <w:pPr>
        <w:pStyle w:val="7"/>
        <w:spacing w:before="0" w:beforeAutospacing="0" w:after="0" w:afterAutospacing="0" w:line="360" w:lineRule="auto"/>
        <w:ind w:firstLine="422" w:firstLineChars="200"/>
        <w:rPr>
          <w:color w:val="auto"/>
          <w:sz w:val="21"/>
          <w:szCs w:val="21"/>
          <w:highlight w:val="none"/>
        </w:rPr>
      </w:pPr>
      <w:bookmarkStart w:id="685" w:name="_Toc351203596"/>
      <w:bookmarkStart w:id="686" w:name="_Toc532377284"/>
      <w:bookmarkStart w:id="687" w:name="_Toc337558813"/>
      <w:r>
        <w:rPr>
          <w:rFonts w:hint="eastAsia"/>
          <w:color w:val="auto"/>
          <w:sz w:val="21"/>
          <w:szCs w:val="21"/>
          <w:highlight w:val="none"/>
        </w:rPr>
        <w:t>14.3 甩项竣工协议</w:t>
      </w:r>
      <w:bookmarkEnd w:id="685"/>
      <w:bookmarkEnd w:id="686"/>
    </w:p>
    <w:bookmarkEnd w:id="687"/>
    <w:p w14:paraId="537FCD52">
      <w:pPr>
        <w:autoSpaceDE w:val="0"/>
        <w:autoSpaceDN w:val="0"/>
        <w:spacing w:line="360" w:lineRule="auto"/>
        <w:ind w:firstLine="411" w:firstLineChars="196"/>
        <w:jc w:val="left"/>
        <w:rPr>
          <w:rFonts w:ascii="宋体" w:hAnsi="宋体"/>
          <w:color w:val="auto"/>
          <w:kern w:val="0"/>
          <w:szCs w:val="21"/>
          <w:highlight w:val="none"/>
        </w:rPr>
      </w:pPr>
      <w:r>
        <w:rPr>
          <w:rFonts w:hint="eastAsia" w:ascii="宋体" w:hAnsi="宋体"/>
          <w:color w:val="auto"/>
          <w:kern w:val="0"/>
          <w:szCs w:val="21"/>
          <w:highlight w:val="none"/>
        </w:rPr>
        <w:t>发包人要求甩项竣工的，合同当事人应签订甩项竣工协议。在甩项竣工协议中应明确，合同当事人按照第14.1款〔竣工结算申请〕及14.2款〔竣工结算审核〕的约定，对已完合格工程进行结算，并支付相应合同价款。</w:t>
      </w:r>
    </w:p>
    <w:p w14:paraId="116D07E3">
      <w:pPr>
        <w:pStyle w:val="7"/>
        <w:spacing w:before="0" w:beforeAutospacing="0" w:after="0" w:afterAutospacing="0" w:line="360" w:lineRule="auto"/>
        <w:ind w:firstLine="422" w:firstLineChars="200"/>
        <w:rPr>
          <w:color w:val="auto"/>
          <w:sz w:val="21"/>
          <w:szCs w:val="21"/>
          <w:highlight w:val="none"/>
        </w:rPr>
      </w:pPr>
      <w:bookmarkStart w:id="688" w:name="_Toc532377285"/>
      <w:bookmarkStart w:id="689" w:name="_Toc351203597"/>
      <w:bookmarkStart w:id="690" w:name="_Toc337558814"/>
      <w:r>
        <w:rPr>
          <w:rFonts w:hint="eastAsia"/>
          <w:color w:val="auto"/>
          <w:sz w:val="21"/>
          <w:szCs w:val="21"/>
          <w:highlight w:val="none"/>
        </w:rPr>
        <w:t>14.4 最终结清</w:t>
      </w:r>
      <w:bookmarkEnd w:id="688"/>
      <w:bookmarkEnd w:id="689"/>
    </w:p>
    <w:bookmarkEnd w:id="690"/>
    <w:p w14:paraId="08455218">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14.4.1 最终结清申请单</w:t>
      </w:r>
    </w:p>
    <w:p w14:paraId="468FEB02">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（1）除专用合同条款另有约定外，承包人应在缺陷责任期终止证书颁发后7天内，按专用合同条款约定的份数向发包人提交最终结清申请单，并提供相关证明材料。</w:t>
      </w:r>
    </w:p>
    <w:p w14:paraId="6C5E8BEE">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除专用合同条款另有约定外，最终结清申请单应列明质量保证金、应扣除的质量保证金、缺陷责任期内发生的增减费用。</w:t>
      </w:r>
    </w:p>
    <w:p w14:paraId="4D68DCF7">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（2）发包人对最终结清申请单内容有异议的，有权要求承包人进行修正和提供补充资料，承包人应向发包人提交修正后的最终结清申请单。</w:t>
      </w:r>
    </w:p>
    <w:p w14:paraId="4D87C074">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14.4.2 最终结清证书和支付</w:t>
      </w:r>
    </w:p>
    <w:p w14:paraId="475CBB82">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1）除专用合同条款另有约定外，发包人应在收到承包人提交的最终结清申请单后14天内完成审批并向承包人颁发最终结清证书。发包人逾期未完成审批，又未提出修改意见的，视为发包人同意承包人提交的最终结清申请单，且自发包人收到承包人提交的最终结清申请单后15天起视为已颁发最终结清证书。</w:t>
      </w:r>
    </w:p>
    <w:p w14:paraId="5D7E287A">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2）除专用合同条款另有约定外，发包人应在颁发最终结清证书后7天内完成支付。发包人逾期支付的，按照中国人民银行发布的同期同类贷款基准利率支付违约金；逾期支付超过56天的，按照中国人民银行发布的同期同类贷款基准利率的两倍支付违约金。</w:t>
      </w:r>
    </w:p>
    <w:p w14:paraId="06C43B7D">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（3）承包人对发包人颁发的最终结清证书有异议的，按第20条〔争议解决〕的约定办理。</w:t>
      </w:r>
    </w:p>
    <w:p w14:paraId="0C6A5F86">
      <w:pPr>
        <w:pStyle w:val="6"/>
        <w:keepNext/>
        <w:keepLines/>
        <w:spacing w:before="120" w:beforeLines="50" w:after="120" w:afterLines="50" w:line="360" w:lineRule="auto"/>
        <w:jc w:val="both"/>
        <w:rPr>
          <w:bCs/>
          <w:color w:val="auto"/>
          <w:szCs w:val="21"/>
          <w:highlight w:val="none"/>
        </w:rPr>
      </w:pPr>
      <w:bookmarkStart w:id="691" w:name="_Toc532377286"/>
      <w:bookmarkStart w:id="692" w:name="_Toc351203598"/>
      <w:bookmarkStart w:id="693" w:name="_Toc532375601"/>
      <w:bookmarkStart w:id="694" w:name="_Toc337558815"/>
      <w:r>
        <w:rPr>
          <w:rFonts w:hint="eastAsia"/>
          <w:color w:val="auto"/>
          <w:szCs w:val="21"/>
          <w:highlight w:val="none"/>
        </w:rPr>
        <w:t>15. 缺陷责任与保修</w:t>
      </w:r>
      <w:bookmarkEnd w:id="691"/>
      <w:bookmarkEnd w:id="692"/>
      <w:bookmarkEnd w:id="693"/>
    </w:p>
    <w:bookmarkEnd w:id="677"/>
    <w:bookmarkEnd w:id="678"/>
    <w:bookmarkEnd w:id="694"/>
    <w:p w14:paraId="21AA4A74">
      <w:pPr>
        <w:pStyle w:val="7"/>
        <w:spacing w:before="0" w:beforeAutospacing="0" w:after="0" w:afterAutospacing="0" w:line="360" w:lineRule="auto"/>
        <w:ind w:firstLine="422" w:firstLineChars="200"/>
        <w:rPr>
          <w:color w:val="auto"/>
          <w:sz w:val="21"/>
          <w:szCs w:val="21"/>
          <w:highlight w:val="none"/>
        </w:rPr>
      </w:pPr>
      <w:bookmarkStart w:id="695" w:name="_Toc351203599"/>
      <w:bookmarkStart w:id="696" w:name="_Toc532377287"/>
      <w:bookmarkStart w:id="697" w:name="_Toc337558816"/>
      <w:bookmarkStart w:id="698" w:name="_Toc296346615"/>
      <w:bookmarkStart w:id="699" w:name="_Toc296503114"/>
      <w:r>
        <w:rPr>
          <w:rFonts w:hint="eastAsia"/>
          <w:color w:val="auto"/>
          <w:sz w:val="21"/>
          <w:szCs w:val="21"/>
          <w:highlight w:val="none"/>
        </w:rPr>
        <w:t>15.1 工程保修的原则</w:t>
      </w:r>
      <w:bookmarkEnd w:id="695"/>
      <w:bookmarkEnd w:id="696"/>
    </w:p>
    <w:bookmarkEnd w:id="697"/>
    <w:p w14:paraId="17B28466">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在工程移交发包人后，因承包人原因产生的质量缺陷，承包人应承担质量缺陷责任和保修义务。缺陷责任期届满，承包人仍应按合同约定的工程各部位保修年限承担保修义务。</w:t>
      </w:r>
    </w:p>
    <w:p w14:paraId="7F536C44">
      <w:pPr>
        <w:pStyle w:val="7"/>
        <w:spacing w:before="0" w:beforeAutospacing="0" w:after="0" w:afterAutospacing="0" w:line="360" w:lineRule="auto"/>
        <w:ind w:firstLine="422" w:firstLineChars="200"/>
        <w:rPr>
          <w:color w:val="auto"/>
          <w:sz w:val="21"/>
          <w:szCs w:val="21"/>
          <w:highlight w:val="none"/>
        </w:rPr>
      </w:pPr>
      <w:bookmarkStart w:id="700" w:name="_Toc351203600"/>
      <w:bookmarkStart w:id="701" w:name="_Toc532377288"/>
      <w:bookmarkStart w:id="702" w:name="_Toc337558817"/>
      <w:r>
        <w:rPr>
          <w:rFonts w:hint="eastAsia"/>
          <w:color w:val="auto"/>
          <w:sz w:val="21"/>
          <w:szCs w:val="21"/>
          <w:highlight w:val="none"/>
        </w:rPr>
        <w:t>15.2 缺陷责任期</w:t>
      </w:r>
      <w:bookmarkEnd w:id="698"/>
      <w:bookmarkEnd w:id="699"/>
      <w:bookmarkEnd w:id="700"/>
      <w:bookmarkEnd w:id="701"/>
    </w:p>
    <w:bookmarkEnd w:id="702"/>
    <w:p w14:paraId="7DC0444B">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15.2.1 缺陷责任期从工程通过竣工验收之日起计算，合同当事人应在专用合同条款约定缺陷责任期的具体期限，但该期限最长不超过24个月。</w:t>
      </w:r>
    </w:p>
    <w:p w14:paraId="30CB9656">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单位工程先于全部工程进行验收，经验收合格并交付使用的，该单位工程缺陷责任期自单位工程验收合格之日起算。因承包人原因导致工程无法按合同约定期限进行竣工验收的，缺陷责任期从实际通过竣工验收之日起计算。因发包人原因导致工程无法按合同约定期限进行竣工验收的，在承包人提交竣工验收报告90天后，工程自动进入缺陷责任期；发包人未经竣工验收擅自使用工程的，缺陷责任期自工程转移占有之日起开始计算。</w:t>
      </w:r>
    </w:p>
    <w:p w14:paraId="4727B538">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15.2.2缺陷责任期内，由承包人原因造成的缺陷，承包人应负责维修，并承担鉴定及维修费用。如承包人不维修也不承担费用，发包人可按合同约定从保证金或银行保函中扣除，费用超出保证金额的，发包人可按合同约定向承包人进行索赔。承包人维修并承担相应费用后，不免除对工程的损失赔偿责任。发包人有权要求承包人延长缺陷责任期，并应在原缺陷责任期届满前发出延长通知。但缺陷责任期（含延长部分）最长不能超过24个月。</w:t>
      </w:r>
    </w:p>
    <w:p w14:paraId="5051991B">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由他人原因造成的缺陷，发包人负责组织维修，承包人不承担费用，且发包人不得从保证金中扣除费用。</w:t>
      </w:r>
    </w:p>
    <w:p w14:paraId="67B4688A">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15.2.3 任何一项缺陷或损坏修复后，经检查证明其影响了工程或工程设备的使用性能，承包人应重新进行合同约定的试验和试运行，试验和试运行的全部费用应由责任方承担。</w:t>
      </w:r>
    </w:p>
    <w:p w14:paraId="6EB11760">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15.2.4 除专用合同条款另有约定外，承包人应于缺陷责任期届满后7天内向发包人发出缺陷责任期届满通知，发包人应在收到缺陷责任期满通知后14天内核实承包人是否履行缺陷修复义务，承包人未能履行缺陷修复义务的，发包人有权扣除相应金额的维修费用。发包人应在收到缺陷责任期届满通知后14天内，向承包人颁发缺陷责任期终止证书。</w:t>
      </w:r>
    </w:p>
    <w:p w14:paraId="396E1179">
      <w:pPr>
        <w:pStyle w:val="7"/>
        <w:spacing w:before="0" w:beforeAutospacing="0" w:after="0" w:afterAutospacing="0" w:line="360" w:lineRule="auto"/>
        <w:ind w:firstLine="422" w:firstLineChars="200"/>
        <w:rPr>
          <w:color w:val="auto"/>
          <w:sz w:val="21"/>
          <w:szCs w:val="21"/>
          <w:highlight w:val="none"/>
        </w:rPr>
      </w:pPr>
      <w:bookmarkStart w:id="703" w:name="_Toc351203601"/>
      <w:bookmarkStart w:id="704" w:name="_Toc532377289"/>
      <w:bookmarkStart w:id="705" w:name="_Toc337558818"/>
      <w:bookmarkStart w:id="706" w:name="_Toc296346616"/>
      <w:bookmarkStart w:id="707" w:name="_Toc296503115"/>
      <w:r>
        <w:rPr>
          <w:rFonts w:hint="eastAsia"/>
          <w:color w:val="auto"/>
          <w:sz w:val="21"/>
          <w:szCs w:val="21"/>
          <w:highlight w:val="none"/>
        </w:rPr>
        <w:t>15.3 质量保证金</w:t>
      </w:r>
      <w:bookmarkEnd w:id="703"/>
      <w:bookmarkEnd w:id="704"/>
    </w:p>
    <w:bookmarkEnd w:id="705"/>
    <w:p w14:paraId="50AC7188">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经合同当事人协商一致扣留质量保证金的，应在专用合同条款中予以明确。</w:t>
      </w:r>
    </w:p>
    <w:p w14:paraId="7B1BE844">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在工程项目竣工前，承包人已经提供履约担保的，发包人不得同时预留工程质量保证金。</w:t>
      </w:r>
    </w:p>
    <w:p w14:paraId="3DFE1FE7">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15.3.1 承包人提供质量保证金的方式</w:t>
      </w:r>
    </w:p>
    <w:p w14:paraId="0A6518A5">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承包人提供质量保证金有以下三种方式：</w:t>
      </w:r>
    </w:p>
    <w:p w14:paraId="680DE769">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（1）质量保证金保函；</w:t>
      </w:r>
    </w:p>
    <w:p w14:paraId="5C4554C0">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（2）相应比例的工程款；</w:t>
      </w:r>
    </w:p>
    <w:p w14:paraId="2F1EE593">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（3）双方约定的其他方式。</w:t>
      </w:r>
    </w:p>
    <w:p w14:paraId="1B1D05F8">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除专用合同条款另有约定外，质量保证金原则上采用上述第（1）种方式。</w:t>
      </w:r>
    </w:p>
    <w:p w14:paraId="70CE39A0">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15.3.2 质量保证金的扣留</w:t>
      </w:r>
    </w:p>
    <w:p w14:paraId="6C80B4EF">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质量保证金的扣留有以下三种方式：</w:t>
      </w:r>
    </w:p>
    <w:p w14:paraId="77145BAA">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（1）在支付工程进度款时逐次扣留，在此情形下，质量保证金的计算基数不包括预付款的支付、扣回以及价格调整的金额；</w:t>
      </w:r>
    </w:p>
    <w:p w14:paraId="2F34A2B2">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（2）工</w:t>
      </w:r>
      <w:bookmarkStart w:id="708" w:name="#go6"/>
      <w:bookmarkEnd w:id="708"/>
      <w:r>
        <w:rPr>
          <w:rFonts w:hint="eastAsia" w:ascii="宋体" w:hAnsi="宋体"/>
          <w:color w:val="auto"/>
          <w:kern w:val="0"/>
          <w:szCs w:val="21"/>
          <w:highlight w:val="none"/>
        </w:rPr>
        <w:t>程竣工结算时一次性扣留质量保证金；</w:t>
      </w:r>
    </w:p>
    <w:p w14:paraId="46643D8A">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（3）双方约定的其他扣留方式。</w:t>
      </w:r>
    </w:p>
    <w:p w14:paraId="3E39D028">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除专用合同条款另有约定外，质量保证金的扣留原则上采用上述第（1）种方式。</w:t>
      </w:r>
    </w:p>
    <w:p w14:paraId="40B92090">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发</w:t>
      </w:r>
      <w:bookmarkStart w:id="709" w:name="#go4"/>
      <w:bookmarkEnd w:id="709"/>
      <w:r>
        <w:rPr>
          <w:rFonts w:hint="eastAsia" w:ascii="宋体" w:hAnsi="宋体"/>
          <w:color w:val="auto"/>
          <w:kern w:val="0"/>
          <w:szCs w:val="21"/>
          <w:highlight w:val="none"/>
        </w:rPr>
        <w:t>包人累计扣留的质量保证金不得超过工程价款结算总额的3%。如承包人在发包人签发竣工付款证书后28天内提交质量保证金保函，发包人应同时退还扣留的作为质量保证金的工程价款；保函金额不得超过工程价款结算总额的3%。</w:t>
      </w:r>
    </w:p>
    <w:p w14:paraId="503B4396">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发包人在退还质量保证金的同时按照中国人民银行发布的同期同类贷款基准利率支付利息。</w:t>
      </w:r>
    </w:p>
    <w:p w14:paraId="17533AC1">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15.3.3 质量保证金的退还</w:t>
      </w:r>
    </w:p>
    <w:p w14:paraId="260673BB">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缺陷责任期内，承包人认真履行合同约定的责任，到期后，承包人可向发包人申请返还保证金。</w:t>
      </w:r>
    </w:p>
    <w:p w14:paraId="4FA37E16">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发包人在接到承包人返还保证金申请后，应于14天内会同承包人按照合同约定的内容进行核实。如无异议，发包人应当按照约定将保证金返还给承包人。对返还期限没有约定或者约定不明确的，发包人应当在核实后14天内将保证金返还承包人，逾期未返还的，依法承担违约责任。发包人在接到承包人返还保证金申请后14天内不予答复，经催告后14天内仍不予答复，视同认可承包人的返还保证金申请。</w:t>
      </w:r>
    </w:p>
    <w:p w14:paraId="0808F1BF">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发包人和承包人对保证金预留、返还以及工程维修质量、费用有争议的，按合同第20条约定的争议和纠纷解决程序处理。</w:t>
      </w:r>
    </w:p>
    <w:p w14:paraId="003DA5B1">
      <w:pPr>
        <w:pStyle w:val="7"/>
        <w:spacing w:before="0" w:beforeAutospacing="0" w:after="0" w:afterAutospacing="0" w:line="360" w:lineRule="auto"/>
        <w:ind w:firstLine="422" w:firstLineChars="200"/>
        <w:rPr>
          <w:color w:val="auto"/>
          <w:sz w:val="21"/>
          <w:szCs w:val="21"/>
          <w:highlight w:val="none"/>
        </w:rPr>
      </w:pPr>
      <w:bookmarkStart w:id="710" w:name="_Toc351203602"/>
      <w:bookmarkStart w:id="711" w:name="_Toc532377290"/>
      <w:bookmarkStart w:id="712" w:name="_Toc337558819"/>
      <w:r>
        <w:rPr>
          <w:rFonts w:hint="eastAsia"/>
          <w:color w:val="auto"/>
          <w:sz w:val="21"/>
          <w:szCs w:val="21"/>
          <w:highlight w:val="none"/>
        </w:rPr>
        <w:t>15.4 保修</w:t>
      </w:r>
      <w:bookmarkEnd w:id="710"/>
      <w:bookmarkEnd w:id="711"/>
    </w:p>
    <w:bookmarkEnd w:id="706"/>
    <w:bookmarkEnd w:id="707"/>
    <w:bookmarkEnd w:id="712"/>
    <w:p w14:paraId="7B8C236F">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15.4.1保修责任</w:t>
      </w:r>
    </w:p>
    <w:p w14:paraId="56499121">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工程保修期从工程竣工验收合格之日起算，具体分部分项工程的保修期由合同当事人在专用合同条款中约定，但不得低于法定最低保修年限。在工程保修期内，承包人应当根据有关法律规定以及合同约定承担保修责任。</w:t>
      </w:r>
    </w:p>
    <w:p w14:paraId="02F1547E">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发包人未经竣工验收擅自使用工程的，保修期自转移占有之日起算。</w:t>
      </w:r>
    </w:p>
    <w:p w14:paraId="3E847FEC">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15.4.2 修复费用</w:t>
      </w:r>
    </w:p>
    <w:p w14:paraId="49DF3D7C">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保修期内，修复的费用按照以下约定处理：</w:t>
      </w:r>
    </w:p>
    <w:p w14:paraId="7DDB8711">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（1）保修期内，因承包人原因造成工程的缺陷、损坏，承包人应负责修复，并承担修复的费用以及因工程的缺陷、损坏造成的人身伤害和财产损失；</w:t>
      </w:r>
    </w:p>
    <w:p w14:paraId="0F4A1EC1">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（2）保修期内，因发包人使用不当造成工程的缺陷、损坏，可以委托承包人修复，但发包人应承担修复的费用，并支付承包人合理利润；</w:t>
      </w:r>
    </w:p>
    <w:p w14:paraId="31CFF5A9">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（3）因其他原因造成工程的缺陷、损坏，可以委托承包人修复，发包人应承担修复的费用，并支付承包人合理的利润，因工程的缺陷、损坏造成的人身伤害和财产损失由责任方承担。</w:t>
      </w:r>
    </w:p>
    <w:p w14:paraId="5AF4E9AE">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15.4.3 修复通知</w:t>
      </w:r>
    </w:p>
    <w:p w14:paraId="0C633EE5">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在保修期内，发包人在使用过程中，发现已接收的工程存在缺陷或损坏的，应书面通知承包人予以修复，但情况紧急必须立即修复缺陷或损坏的，发包人可以口头通知承包人并在口头通知后48小时内书面确认，承包人应在专用合同条款约定的合理期限内到达工程现场并修复缺陷或损坏。</w:t>
      </w:r>
    </w:p>
    <w:p w14:paraId="2FCC65DD">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15.4.4 未能修复</w:t>
      </w:r>
    </w:p>
    <w:p w14:paraId="31638593">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因承包人原因造成工程的缺陷或损坏，承包人拒绝维修或未能在合理期限内修复缺陷或损坏，且经发包人书面催告后仍未修复的，发包人有权自行修复或委托第三方修复，所需费用由承包人承担。但修复范围超出缺陷或损坏范围的，超出范围部分的修复费用由发包人承担。</w:t>
      </w:r>
    </w:p>
    <w:p w14:paraId="756485DA">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15.4.5 承包人出入权</w:t>
      </w:r>
    </w:p>
    <w:p w14:paraId="569E2642">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在保修期内，为了修复缺陷或损坏，承包人有权出入工程现场，除情况紧急必须立即修复缺陷或损坏外，承包人应提前24小时通知发包人进场修复的时间。承包人进入工程现场前应获得发包人同意，且不应影响发包人正常的生产经营，并应遵守发包人有关保安和保密等规定。</w:t>
      </w:r>
    </w:p>
    <w:p w14:paraId="230F520D">
      <w:pPr>
        <w:pStyle w:val="6"/>
        <w:keepNext/>
        <w:keepLines/>
        <w:spacing w:before="120" w:beforeLines="50" w:after="120" w:afterLines="50" w:line="360" w:lineRule="auto"/>
        <w:jc w:val="both"/>
        <w:rPr>
          <w:bCs/>
          <w:color w:val="auto"/>
          <w:szCs w:val="21"/>
          <w:highlight w:val="none"/>
        </w:rPr>
      </w:pPr>
      <w:bookmarkStart w:id="713" w:name="_Toc351203603"/>
      <w:bookmarkStart w:id="714" w:name="_Toc532375602"/>
      <w:bookmarkStart w:id="715" w:name="_Toc532377291"/>
      <w:bookmarkStart w:id="716" w:name="_Toc337558820"/>
      <w:r>
        <w:rPr>
          <w:rFonts w:hint="eastAsia"/>
          <w:color w:val="auto"/>
          <w:szCs w:val="21"/>
          <w:highlight w:val="none"/>
        </w:rPr>
        <w:t>16. 违约</w:t>
      </w:r>
      <w:bookmarkEnd w:id="713"/>
      <w:bookmarkEnd w:id="714"/>
      <w:bookmarkEnd w:id="715"/>
    </w:p>
    <w:bookmarkEnd w:id="716"/>
    <w:p w14:paraId="7FEDCA6D">
      <w:pPr>
        <w:pStyle w:val="7"/>
        <w:spacing w:before="0" w:beforeAutospacing="0" w:after="0" w:afterAutospacing="0" w:line="360" w:lineRule="auto"/>
        <w:ind w:firstLine="422" w:firstLineChars="200"/>
        <w:rPr>
          <w:color w:val="auto"/>
          <w:sz w:val="21"/>
          <w:szCs w:val="21"/>
          <w:highlight w:val="none"/>
        </w:rPr>
      </w:pPr>
      <w:bookmarkStart w:id="717" w:name="_Toc296346630"/>
      <w:bookmarkStart w:id="718" w:name="_Toc296503129"/>
      <w:bookmarkStart w:id="719" w:name="_Toc351203604"/>
      <w:bookmarkStart w:id="720" w:name="_Toc532377292"/>
      <w:bookmarkStart w:id="721" w:name="_Toc337558821"/>
      <w:r>
        <w:rPr>
          <w:rFonts w:hint="eastAsia"/>
          <w:color w:val="auto"/>
          <w:sz w:val="21"/>
          <w:szCs w:val="21"/>
          <w:highlight w:val="none"/>
        </w:rPr>
        <w:t>16.1 发</w:t>
      </w:r>
      <w:bookmarkEnd w:id="717"/>
      <w:bookmarkEnd w:id="718"/>
      <w:r>
        <w:rPr>
          <w:rFonts w:hint="eastAsia"/>
          <w:color w:val="auto"/>
          <w:sz w:val="21"/>
          <w:szCs w:val="21"/>
          <w:highlight w:val="none"/>
        </w:rPr>
        <w:t>包人违约</w:t>
      </w:r>
      <w:bookmarkEnd w:id="719"/>
      <w:bookmarkEnd w:id="720"/>
    </w:p>
    <w:bookmarkEnd w:id="721"/>
    <w:p w14:paraId="12F380BB">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16.1.1 发包人违约的情形</w:t>
      </w:r>
    </w:p>
    <w:p w14:paraId="756203E2">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在合同履行过程中发生的下列情形，属于发包人违约：</w:t>
      </w:r>
    </w:p>
    <w:p w14:paraId="7DE25B57">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（1）因发包人原因未能在计划开工日期前7天内下达开工通知的；</w:t>
      </w:r>
    </w:p>
    <w:p w14:paraId="25AD35F4">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（2）因发包人原因未能按合同约定支付合同价款的；</w:t>
      </w:r>
    </w:p>
    <w:p w14:paraId="1D706719">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（3）发包人违反第10.1款〔变更的范围〕第（2）项约定，自行实施被取消的工作或转由他人实施的；</w:t>
      </w:r>
    </w:p>
    <w:p w14:paraId="2154C461">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（4）发包人提供的材料、工程设备的规格、数量或质量不符合合同约定，或因发包人原因导致交货日期延误或交货地点变更等情况的；</w:t>
      </w:r>
    </w:p>
    <w:p w14:paraId="5FE7CE4F">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（5）因发包人违反合同约定造成暂停施工的；</w:t>
      </w:r>
    </w:p>
    <w:p w14:paraId="0EA8EC17">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（6）发包人无正当理由没有在约定期限内发出复工指示，导致承包人无法复工的；</w:t>
      </w:r>
    </w:p>
    <w:p w14:paraId="403E823B">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（7）发包人明确表示或者以其行为表明不履行合同主要义务的；</w:t>
      </w:r>
    </w:p>
    <w:p w14:paraId="4374436E">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（8）发包人未能按照合同约定履行其他义务的。</w:t>
      </w:r>
    </w:p>
    <w:p w14:paraId="6A9082F8">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发包人发生除本项第（7）目以外的违约情况时，承包人可向发包人发出通知，要求发包人采取有效措施纠正违约行为。发包人收到承包人通知后28天内仍不纠正违约行为的，承包人有权暂停相应部位工程施工，并通知监理人。</w:t>
      </w:r>
    </w:p>
    <w:p w14:paraId="536EEF64">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16.1.2 发包人违约的责任</w:t>
      </w:r>
    </w:p>
    <w:p w14:paraId="5310D06A">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发包人应承担因其违约给承包人增加的费用和（或）延误的工期，并支付承包人合理的利润。此外，合同当事人可在专用合同条款中另行约定发包人违约责任的承担方式和计算方法。</w:t>
      </w:r>
    </w:p>
    <w:p w14:paraId="747475DD">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16.1.3 因发包人违约解除合同</w:t>
      </w:r>
    </w:p>
    <w:p w14:paraId="1EE9CDA4">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除专用合同条款另有约定外，承包人按第16.1.1项〔发包人违约的情形〕约定暂停施工满28天后，发包人仍不纠正其违约行为并致使合同目的不能实现的，或出现第16.1.1项〔发包人违约的情形〕第（7）目约定的违约情况，承包人有权解除合同，发包人应承担由此增加的费用，并支付承包人合理的利润。</w:t>
      </w:r>
    </w:p>
    <w:p w14:paraId="22AAEF3F">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16.1.4 因发包人违约解除合同后的付款</w:t>
      </w:r>
    </w:p>
    <w:p w14:paraId="5BFC9B64">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承包人按照本款约定解除合同的，发包人应在解除合同后28天内支付下列款项，并解除履约担保：</w:t>
      </w:r>
    </w:p>
    <w:p w14:paraId="64F68F32">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（1）合同解除前所完成工作的价款；</w:t>
      </w:r>
    </w:p>
    <w:p w14:paraId="6B7587C9">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（2）承包人为工程施工订购并已付款的材料、工程设备和其他物品的价款；</w:t>
      </w:r>
    </w:p>
    <w:p w14:paraId="156D7FB5">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（3）承包人撤离施工现场以及遣散承包人人员的款项；</w:t>
      </w:r>
    </w:p>
    <w:p w14:paraId="51E9D07E">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（4）按照合同约定在合同解除前应支付的违约金；</w:t>
      </w:r>
    </w:p>
    <w:p w14:paraId="43BB1D95">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（5）按照合同约定应当支付给承包人的其他款项；</w:t>
      </w:r>
    </w:p>
    <w:p w14:paraId="3AB51857">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（6）按照合同约定应退还的质量保证金；</w:t>
      </w:r>
    </w:p>
    <w:p w14:paraId="49B94697">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（7）因解除合同给承包人造成的损失。</w:t>
      </w:r>
    </w:p>
    <w:p w14:paraId="1690EF23">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合同当事人未能就解除合同后的结清达成一致的，按照第20条〔争议解决〕的约定处理。</w:t>
      </w:r>
    </w:p>
    <w:p w14:paraId="0490477E">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承包人应妥善做好已完工程和与工程有关的已购材料、工程设备的保护和移交工作，并将施工设备和人员撤出施工现场，发包人应为承包人撤出提供必要条件。</w:t>
      </w:r>
    </w:p>
    <w:p w14:paraId="11AC069B">
      <w:pPr>
        <w:pStyle w:val="7"/>
        <w:spacing w:before="0" w:beforeAutospacing="0" w:after="0" w:afterAutospacing="0" w:line="360" w:lineRule="auto"/>
        <w:ind w:firstLine="422" w:firstLineChars="200"/>
        <w:rPr>
          <w:color w:val="auto"/>
          <w:sz w:val="21"/>
          <w:szCs w:val="21"/>
          <w:highlight w:val="none"/>
        </w:rPr>
      </w:pPr>
      <w:bookmarkStart w:id="722" w:name="_Toc532377293"/>
      <w:bookmarkStart w:id="723" w:name="_Toc351203605"/>
      <w:bookmarkStart w:id="724" w:name="_Toc337558822"/>
      <w:bookmarkStart w:id="725" w:name="_Toc296503131"/>
      <w:bookmarkStart w:id="726" w:name="_Toc296346632"/>
      <w:r>
        <w:rPr>
          <w:rFonts w:hint="eastAsia"/>
          <w:color w:val="auto"/>
          <w:sz w:val="21"/>
          <w:szCs w:val="21"/>
          <w:highlight w:val="none"/>
        </w:rPr>
        <w:t>16.2 承包人违约</w:t>
      </w:r>
      <w:bookmarkEnd w:id="722"/>
      <w:bookmarkEnd w:id="723"/>
    </w:p>
    <w:bookmarkEnd w:id="724"/>
    <w:bookmarkEnd w:id="725"/>
    <w:bookmarkEnd w:id="726"/>
    <w:p w14:paraId="0285FC3D">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16.2.1 承包人违约的情形</w:t>
      </w:r>
    </w:p>
    <w:p w14:paraId="3E08B094">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在合同履行过程中发生的下列情形，属于承包人违约：</w:t>
      </w:r>
    </w:p>
    <w:p w14:paraId="4C4592AF">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（1）承包人违反合同约定进行转包或违法分包的；</w:t>
      </w:r>
    </w:p>
    <w:p w14:paraId="14637DD4">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（2）承包人违反合同约定采购和使用不合格的材料和工程设备的；</w:t>
      </w:r>
    </w:p>
    <w:p w14:paraId="16091832">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 xml:space="preserve">（3）因承包人原因导致工程质量不符合合同要求的； </w:t>
      </w:r>
    </w:p>
    <w:p w14:paraId="4E8A7E95">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（4）承包人违反第8.9款〔材料与设备专用要求〕的约定，未经批准，私自将已按照合同约定进入施工现场的材料或设备撤离施工现场的；</w:t>
      </w:r>
    </w:p>
    <w:p w14:paraId="07BBE5A4">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（5）承包人未能按施工进度计划及时完成合同约定的工作，造成工期延误的；</w:t>
      </w:r>
    </w:p>
    <w:p w14:paraId="7A9D12DF">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（6）承包人在缺陷责任期及保修期内，未能在合理期限对工程缺陷进行修复，或拒绝按发包人要求进行修复的；</w:t>
      </w:r>
    </w:p>
    <w:p w14:paraId="45634175">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（7）承包人明确表示或者以其行为表明不履行合同主要义务的；</w:t>
      </w:r>
    </w:p>
    <w:p w14:paraId="73006974">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（8）承包人未能按照合同约定履行其他义务的。</w:t>
      </w:r>
    </w:p>
    <w:p w14:paraId="021A88E3">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承包人发生除本项第（7）目约定以外的其他违约情况时，监理人可向承包人发出整改通知，要求其在指定的期限内改正。</w:t>
      </w:r>
    </w:p>
    <w:p w14:paraId="75AF0CCD">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16.2.2 承包人违约的责任</w:t>
      </w:r>
    </w:p>
    <w:p w14:paraId="5E9F3788">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承包人应承担因其违约行为而增加的费用和（或）延误的工期。此外，合同当事人可在专用合同条款中另行约定承包人违约责任的承担方式和计算方法。</w:t>
      </w:r>
    </w:p>
    <w:p w14:paraId="4E309E51">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16.2.3 因承包人违约解除合同</w:t>
      </w:r>
    </w:p>
    <w:p w14:paraId="1B28C824">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除专用合同条款另有约定外，出现第16.2.1项〔承包人违约的情形〕第（7）目约定的违约情况时，或监理人发出整改通知后，承包人在指定的合理期限内仍不纠正违约行为并致使合同目的不能实现的，发包人有权解除合同。合同解除后，因继续完成工程的需要，发包人有权使用承包人在施工现场的材料、设备、临时工程、承包人文件和由承包人或以其名义编制的其他文件，合同当事人应在专用合同条款约定相应费用的承担方式。发包人继续使用的行为不免除或减轻承包人应承担的违约责任。</w:t>
      </w:r>
    </w:p>
    <w:p w14:paraId="0B2C4234">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16.2.4因承包人违约解除合同后的处理</w:t>
      </w:r>
    </w:p>
    <w:p w14:paraId="2C78F6EE">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因承包人原因导致合同解除的，则合同当事人应在合同解除后28天内完成估价、付款和清算，并按以下约定执行：</w:t>
      </w:r>
    </w:p>
    <w:p w14:paraId="42DD0BE7">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（1）合同解除后，按第4.4款〔商定或确定〕商定或确定承包人实际完成工作对应的合同价款，以及承包人已提供的材料、工程设备、施工设备和临时工程等的价值；</w:t>
      </w:r>
    </w:p>
    <w:p w14:paraId="4C361A67">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（2）合同解除后，承包人应支付的违约金；</w:t>
      </w:r>
    </w:p>
    <w:p w14:paraId="4F7790E1">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（3）合同解除后，因解除合同给发包人造成的损失；</w:t>
      </w:r>
    </w:p>
    <w:p w14:paraId="5A5641ED">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（4）合同解除后，承包人应按照发包人要求和监理人的指示完成现场的清理和撤离；</w:t>
      </w:r>
    </w:p>
    <w:p w14:paraId="4615A6C5">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（5）发包人和承包人应在合同解除后进行清算，出具最终结清付款证书，结清全部款项。</w:t>
      </w:r>
    </w:p>
    <w:p w14:paraId="1E686FD7">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因承包人违约解除合同的，发包人有权暂停对承包人的付款，查清各项付款和已扣款项。发包人和承包人未能就合同解除后的清算和款项支付达成一致的，按照第20条〔争议解决〕的约定处理。</w:t>
      </w:r>
    </w:p>
    <w:p w14:paraId="56FE022D">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16.2.5采购合同权益转让</w:t>
      </w:r>
    </w:p>
    <w:p w14:paraId="71E05249">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因承包人违约解除合同的，发包人有权要求承包人将其为实施合同而签订的材料和设备的采购合同的权益转让给发包人，承包人应在收到解除合同通知后14天内，协助发包人与采购合同的供应商达成相关的转让协议。</w:t>
      </w:r>
    </w:p>
    <w:p w14:paraId="0B218CF5">
      <w:pPr>
        <w:pStyle w:val="7"/>
        <w:spacing w:before="0" w:beforeAutospacing="0" w:after="0" w:afterAutospacing="0" w:line="360" w:lineRule="auto"/>
        <w:ind w:firstLine="422" w:firstLineChars="200"/>
        <w:rPr>
          <w:color w:val="auto"/>
          <w:sz w:val="21"/>
          <w:szCs w:val="21"/>
          <w:highlight w:val="none"/>
        </w:rPr>
      </w:pPr>
      <w:bookmarkStart w:id="727" w:name="_Toc532377294"/>
      <w:bookmarkStart w:id="728" w:name="_Toc351203606"/>
      <w:r>
        <w:rPr>
          <w:rFonts w:hint="eastAsia"/>
          <w:color w:val="auto"/>
          <w:sz w:val="21"/>
          <w:szCs w:val="21"/>
          <w:highlight w:val="none"/>
        </w:rPr>
        <w:t>16.3 第三人造成的违约</w:t>
      </w:r>
      <w:bookmarkEnd w:id="727"/>
      <w:bookmarkEnd w:id="728"/>
    </w:p>
    <w:p w14:paraId="05F5097C">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在履行合同过程中，一方当事人因第三人的原因造成违约的，应当向对方当事人承担违约责任。一方当事人和第三人之间的纠纷，依照法律规定或者按照约定解决。</w:t>
      </w:r>
    </w:p>
    <w:p w14:paraId="76E44F81">
      <w:pPr>
        <w:pStyle w:val="6"/>
        <w:keepNext/>
        <w:keepLines/>
        <w:spacing w:before="120" w:beforeLines="50" w:after="120" w:afterLines="50" w:line="360" w:lineRule="auto"/>
        <w:jc w:val="both"/>
        <w:rPr>
          <w:bCs/>
          <w:color w:val="auto"/>
          <w:szCs w:val="21"/>
          <w:highlight w:val="none"/>
        </w:rPr>
      </w:pPr>
      <w:bookmarkStart w:id="729" w:name="_Toc337558823"/>
      <w:bookmarkStart w:id="730" w:name="_Toc532377295"/>
      <w:bookmarkStart w:id="731" w:name="_Toc532375603"/>
      <w:bookmarkStart w:id="732" w:name="_Toc296503116"/>
      <w:bookmarkStart w:id="733" w:name="_Toc296346617"/>
      <w:bookmarkStart w:id="734" w:name="_Toc351203607"/>
      <w:r>
        <w:rPr>
          <w:rFonts w:hint="eastAsia"/>
          <w:color w:val="auto"/>
          <w:szCs w:val="21"/>
          <w:highlight w:val="none"/>
        </w:rPr>
        <w:t>17. 不可抗力</w:t>
      </w:r>
      <w:bookmarkEnd w:id="729"/>
      <w:bookmarkEnd w:id="730"/>
      <w:bookmarkEnd w:id="731"/>
      <w:bookmarkEnd w:id="732"/>
      <w:bookmarkEnd w:id="733"/>
      <w:bookmarkEnd w:id="734"/>
    </w:p>
    <w:p w14:paraId="380FF2DF">
      <w:pPr>
        <w:pStyle w:val="7"/>
        <w:spacing w:before="0" w:beforeAutospacing="0" w:after="0" w:afterAutospacing="0" w:line="360" w:lineRule="auto"/>
        <w:ind w:firstLine="422" w:firstLineChars="200"/>
        <w:rPr>
          <w:color w:val="auto"/>
          <w:sz w:val="21"/>
          <w:szCs w:val="21"/>
          <w:highlight w:val="none"/>
        </w:rPr>
      </w:pPr>
      <w:bookmarkStart w:id="735" w:name="_Toc532377296"/>
      <w:bookmarkStart w:id="736" w:name="_Toc351203608"/>
      <w:bookmarkStart w:id="737" w:name="_Toc296503117"/>
      <w:bookmarkStart w:id="738" w:name="_Toc296346618"/>
      <w:bookmarkStart w:id="739" w:name="_Toc337558824"/>
      <w:r>
        <w:rPr>
          <w:rFonts w:hint="eastAsia"/>
          <w:color w:val="auto"/>
          <w:sz w:val="21"/>
          <w:szCs w:val="21"/>
          <w:highlight w:val="none"/>
        </w:rPr>
        <w:t>17.1 不可抗力的确认</w:t>
      </w:r>
      <w:bookmarkEnd w:id="735"/>
      <w:bookmarkEnd w:id="736"/>
    </w:p>
    <w:bookmarkEnd w:id="737"/>
    <w:bookmarkEnd w:id="738"/>
    <w:bookmarkEnd w:id="739"/>
    <w:p w14:paraId="397BB1B3">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不可抗力是指合同当事人在签订合同时不可预见，在合同履行过程中不可避免且不能克服的自然灾害和社会性突发事件，如地震、海啸、瘟疫、骚乱、戒严、暴动、战争和专用合同条款中约定的其他情形。</w:t>
      </w:r>
    </w:p>
    <w:p w14:paraId="2025E801">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不可抗力发生后，发包人和承包人应收集证明不可抗力发生及不可抗力造成损失的证据，并及时认真统计所造成的损失。合同当事人对是否属于不可抗力或其损失的意见不一致的，由监理人按第4.4款〔商定或确定〕的约定处理。发生争议时，按第20条〔争议解决〕的约定处理。</w:t>
      </w:r>
    </w:p>
    <w:p w14:paraId="2B793A5D">
      <w:pPr>
        <w:pStyle w:val="7"/>
        <w:spacing w:before="0" w:beforeAutospacing="0" w:after="0" w:afterAutospacing="0" w:line="360" w:lineRule="auto"/>
        <w:ind w:firstLine="422" w:firstLineChars="200"/>
        <w:rPr>
          <w:color w:val="auto"/>
          <w:sz w:val="21"/>
          <w:szCs w:val="21"/>
          <w:highlight w:val="none"/>
        </w:rPr>
      </w:pPr>
      <w:bookmarkStart w:id="740" w:name="_Toc351203609"/>
      <w:bookmarkStart w:id="741" w:name="_Toc532377297"/>
      <w:bookmarkStart w:id="742" w:name="_Toc296503118"/>
      <w:bookmarkStart w:id="743" w:name="_Toc337558825"/>
      <w:bookmarkStart w:id="744" w:name="_Toc296346619"/>
      <w:r>
        <w:rPr>
          <w:rFonts w:hint="eastAsia"/>
          <w:color w:val="auto"/>
          <w:sz w:val="21"/>
          <w:szCs w:val="21"/>
          <w:highlight w:val="none"/>
        </w:rPr>
        <w:t>17.2 不可抗力的通知</w:t>
      </w:r>
      <w:bookmarkEnd w:id="740"/>
      <w:bookmarkEnd w:id="741"/>
    </w:p>
    <w:bookmarkEnd w:id="742"/>
    <w:bookmarkEnd w:id="743"/>
    <w:bookmarkEnd w:id="744"/>
    <w:p w14:paraId="603D97A6">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合同一方当事人遇到不可抗力事件，使其履行合同义务受到阻碍时，应立即通知合同另一方当事人和监理人，书面说明不可抗力和受阻碍的详细情况，并提供必要的证明。</w:t>
      </w:r>
    </w:p>
    <w:p w14:paraId="061743BF">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不可抗力持续发生的，合同一方当事人应及时向合同另一方当事人和监理人提交中间报告，说明不可抗力和履行合同受阻的情况，并于不可抗力事件结束后28天内提交最终报告及有关资料。</w:t>
      </w:r>
    </w:p>
    <w:p w14:paraId="65EABA70">
      <w:pPr>
        <w:pStyle w:val="7"/>
        <w:spacing w:before="0" w:beforeAutospacing="0" w:after="0" w:afterAutospacing="0" w:line="360" w:lineRule="auto"/>
        <w:ind w:firstLine="422" w:firstLineChars="200"/>
        <w:rPr>
          <w:color w:val="auto"/>
          <w:sz w:val="21"/>
          <w:szCs w:val="21"/>
          <w:highlight w:val="none"/>
        </w:rPr>
      </w:pPr>
      <w:bookmarkStart w:id="745" w:name="_Toc532377298"/>
      <w:r>
        <w:rPr>
          <w:rFonts w:hint="eastAsia"/>
          <w:color w:val="auto"/>
          <w:sz w:val="21"/>
          <w:szCs w:val="21"/>
          <w:highlight w:val="none"/>
        </w:rPr>
        <w:t>17.3 不可抗力后果的承担</w:t>
      </w:r>
      <w:bookmarkEnd w:id="745"/>
    </w:p>
    <w:p w14:paraId="6FEB2CE9">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17.3.1 不可抗力引起的后果及造成的损失由合同当事人按照法律规定及合同约定各自承担。不可抗力发生前已完成的工程应当按照合同约定进行计量支付。</w:t>
      </w:r>
    </w:p>
    <w:p w14:paraId="0459B866">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17.3.2 不可抗力导致的人员伤亡、财产损失、费用增加和（或）工期延误等后果，由合同当事人按以下原则承担：</w:t>
      </w:r>
    </w:p>
    <w:p w14:paraId="7715CABE">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（1）永久工程、已运至施工现场的材料和工程设备的损坏，以及因工程损坏造成的第三人人员伤亡和财产损失由发包人承担；</w:t>
      </w:r>
    </w:p>
    <w:p w14:paraId="7375B162">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（2）承包人施工设备的损坏由承包人承担；</w:t>
      </w:r>
    </w:p>
    <w:p w14:paraId="507A5F97">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（3）发包人和承包人承担各自人员伤亡和财产的损失；</w:t>
      </w:r>
    </w:p>
    <w:p w14:paraId="2ED477FE">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（4）因不可抗力影响承包人履行合同约定的义务，已经引起或将引起工期延误的，应当顺延工期，由此导致承包人停工的费用损失由发包人和承包人合理分担，停工期间必须支付的工人工资由发包人承担；</w:t>
      </w:r>
    </w:p>
    <w:p w14:paraId="2FF2855A">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（5）因不可抗力引起或将引起工期延误，发包人要求赶工的，由此增加的赶工费用由发包人承担；</w:t>
      </w:r>
    </w:p>
    <w:p w14:paraId="7794AA58">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（6）承包人在停工期间按照发包人要求照管、清理和修复工程的费用由发包人承担。</w:t>
      </w:r>
    </w:p>
    <w:p w14:paraId="76B2AA4C">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不可抗力发生后，合同当事人均应采取措施尽量避免和减少损失的扩大，任何一方当事人没有采取有效措施导致损失扩大的，应对扩大的损失承担责任。</w:t>
      </w:r>
    </w:p>
    <w:p w14:paraId="2FE622C4">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因合同一方迟延履行合同义务，在迟延履行期间遭遇不可抗力的，不免除其违约责任。</w:t>
      </w:r>
    </w:p>
    <w:p w14:paraId="7B8DC0CF">
      <w:pPr>
        <w:pStyle w:val="7"/>
        <w:spacing w:before="0" w:beforeAutospacing="0" w:after="0" w:afterAutospacing="0" w:line="360" w:lineRule="auto"/>
        <w:ind w:firstLine="422" w:firstLineChars="200"/>
        <w:rPr>
          <w:color w:val="auto"/>
          <w:sz w:val="21"/>
          <w:szCs w:val="21"/>
          <w:highlight w:val="none"/>
        </w:rPr>
      </w:pPr>
      <w:bookmarkStart w:id="746" w:name="_Toc532377299"/>
      <w:bookmarkStart w:id="747" w:name="_Toc351203611"/>
      <w:bookmarkStart w:id="748" w:name="_Toc337558827"/>
      <w:r>
        <w:rPr>
          <w:rFonts w:hint="eastAsia"/>
          <w:color w:val="auto"/>
          <w:sz w:val="21"/>
          <w:szCs w:val="21"/>
          <w:highlight w:val="none"/>
        </w:rPr>
        <w:t>17.4 因不可抗力解除合同</w:t>
      </w:r>
      <w:bookmarkEnd w:id="746"/>
      <w:bookmarkEnd w:id="747"/>
    </w:p>
    <w:bookmarkEnd w:id="748"/>
    <w:p w14:paraId="45A88B4D">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因不可抗力导致合同无法履行连续超过84天或累计超过140天的，发包人和承包人均有权解除合同。合同解除后，由双方当事人按照第4.4款〔商定或确定〕商定或确定发包人应支付的款项，该款项包括：</w:t>
      </w:r>
    </w:p>
    <w:p w14:paraId="29EE2625">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（1）合同解除前承包人已完成工作的价款；</w:t>
      </w:r>
    </w:p>
    <w:p w14:paraId="247AC77A">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（2）承包人为工程订购的并已交付给承包人，或承包人有责任接受交付的材料、工程设备和其他物品的价款；</w:t>
      </w:r>
    </w:p>
    <w:p w14:paraId="62150074">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（3）发包人要求承包人退货或解除订货合同而产生的费用，或因不能退货或解除合同而产生的损失；</w:t>
      </w:r>
    </w:p>
    <w:p w14:paraId="04D98F06">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（4）承包人撤离施工现场以及遣散承包人人员的费用；</w:t>
      </w:r>
    </w:p>
    <w:p w14:paraId="7ED8E2A5">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（5）按照合同约定在合同解除前应支付给承包人的其他款项；</w:t>
      </w:r>
    </w:p>
    <w:p w14:paraId="677AFB47">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（6）扣减承包人按照合同约定应向发包人支付的款项；</w:t>
      </w:r>
    </w:p>
    <w:p w14:paraId="76696D76">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（7）双方商定或确定的其他款项。</w:t>
      </w:r>
    </w:p>
    <w:p w14:paraId="7C11C51A">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除专用合同条款另有约定外，合同解除后，发包人应在商定或确定上述款项后28天内完成上述款项的支付。</w:t>
      </w:r>
    </w:p>
    <w:p w14:paraId="54CF9BE6">
      <w:pPr>
        <w:pStyle w:val="6"/>
        <w:keepNext/>
        <w:keepLines/>
        <w:spacing w:before="120" w:beforeLines="50" w:after="120" w:afterLines="50" w:line="360" w:lineRule="auto"/>
        <w:jc w:val="both"/>
        <w:rPr>
          <w:bCs/>
          <w:color w:val="auto"/>
          <w:szCs w:val="21"/>
          <w:highlight w:val="none"/>
        </w:rPr>
      </w:pPr>
      <w:bookmarkStart w:id="749" w:name="_Toc532375604"/>
      <w:bookmarkStart w:id="750" w:name="_Toc351203612"/>
      <w:bookmarkStart w:id="751" w:name="_Toc532377300"/>
      <w:bookmarkStart w:id="752" w:name="_Toc296346621"/>
      <w:bookmarkStart w:id="753" w:name="_Toc296503120"/>
      <w:bookmarkStart w:id="754" w:name="_Toc337558828"/>
      <w:r>
        <w:rPr>
          <w:rFonts w:hint="eastAsia"/>
          <w:color w:val="auto"/>
          <w:szCs w:val="21"/>
          <w:highlight w:val="none"/>
        </w:rPr>
        <w:t>18. 保险</w:t>
      </w:r>
      <w:bookmarkEnd w:id="749"/>
      <w:bookmarkEnd w:id="750"/>
      <w:bookmarkEnd w:id="751"/>
    </w:p>
    <w:bookmarkEnd w:id="752"/>
    <w:bookmarkEnd w:id="753"/>
    <w:bookmarkEnd w:id="754"/>
    <w:p w14:paraId="562341D4">
      <w:pPr>
        <w:pStyle w:val="7"/>
        <w:spacing w:before="0" w:beforeAutospacing="0" w:after="0" w:afterAutospacing="0" w:line="360" w:lineRule="auto"/>
        <w:ind w:firstLine="422" w:firstLineChars="200"/>
        <w:rPr>
          <w:color w:val="auto"/>
          <w:sz w:val="21"/>
          <w:szCs w:val="21"/>
          <w:highlight w:val="none"/>
        </w:rPr>
      </w:pPr>
      <w:bookmarkStart w:id="755" w:name="_Toc351203613"/>
      <w:bookmarkStart w:id="756" w:name="_Toc532377301"/>
      <w:bookmarkStart w:id="757" w:name="_Toc296346622"/>
      <w:bookmarkStart w:id="758" w:name="_Toc296503121"/>
      <w:bookmarkStart w:id="759" w:name="_Toc337558829"/>
      <w:r>
        <w:rPr>
          <w:rFonts w:hint="eastAsia"/>
          <w:color w:val="auto"/>
          <w:sz w:val="21"/>
          <w:szCs w:val="21"/>
          <w:highlight w:val="none"/>
        </w:rPr>
        <w:t>18.1 工程保险</w:t>
      </w:r>
      <w:bookmarkEnd w:id="755"/>
      <w:bookmarkEnd w:id="756"/>
    </w:p>
    <w:bookmarkEnd w:id="757"/>
    <w:bookmarkEnd w:id="758"/>
    <w:bookmarkEnd w:id="759"/>
    <w:p w14:paraId="782650AC">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除专用合同条款另有约定外，发包人应投保建筑工程一切险或安装工程一切险；发包人委托承包人投保的，因投保产生的保险费和其他相关费用由发包人承担。</w:t>
      </w:r>
    </w:p>
    <w:p w14:paraId="1A695C9F">
      <w:pPr>
        <w:pStyle w:val="7"/>
        <w:spacing w:before="0" w:beforeAutospacing="0" w:after="0" w:afterAutospacing="0" w:line="360" w:lineRule="auto"/>
        <w:ind w:firstLine="422" w:firstLineChars="200"/>
        <w:rPr>
          <w:color w:val="auto"/>
          <w:sz w:val="21"/>
          <w:szCs w:val="21"/>
          <w:highlight w:val="none"/>
        </w:rPr>
      </w:pPr>
      <w:bookmarkStart w:id="760" w:name="_Toc351203614"/>
      <w:bookmarkStart w:id="761" w:name="_Toc532377302"/>
      <w:bookmarkStart w:id="762" w:name="_Toc296503122"/>
      <w:bookmarkStart w:id="763" w:name="_Toc296346623"/>
      <w:bookmarkStart w:id="764" w:name="_Toc337558830"/>
      <w:r>
        <w:rPr>
          <w:rFonts w:hint="eastAsia"/>
          <w:color w:val="auto"/>
          <w:sz w:val="21"/>
          <w:szCs w:val="21"/>
          <w:highlight w:val="none"/>
        </w:rPr>
        <w:t>18.2 工伤保险</w:t>
      </w:r>
      <w:bookmarkEnd w:id="760"/>
      <w:bookmarkEnd w:id="761"/>
    </w:p>
    <w:bookmarkEnd w:id="762"/>
    <w:bookmarkEnd w:id="763"/>
    <w:bookmarkEnd w:id="764"/>
    <w:p w14:paraId="500F5744">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18.2.1 发包人应依照法律规定参加工伤保险，并为在施工现场的全部员工办理工伤保险，缴纳工伤保险费，并要求监理人及由发包人为履行合同聘请的第三方依法参加工伤保险。</w:t>
      </w:r>
    </w:p>
    <w:p w14:paraId="48C487EF">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18.2.2 承包人应依照法律规定参加工伤保险，并为其履行合同的全部员工办理工伤保险，缴纳工伤保险费，并要求分包人及由承包人为履行合同聘请的第三方依法参加工伤保险。</w:t>
      </w:r>
    </w:p>
    <w:p w14:paraId="7F2C3CEA">
      <w:pPr>
        <w:pStyle w:val="7"/>
        <w:spacing w:before="0" w:beforeAutospacing="0" w:after="0" w:afterAutospacing="0" w:line="360" w:lineRule="auto"/>
        <w:ind w:firstLine="422" w:firstLineChars="200"/>
        <w:rPr>
          <w:color w:val="auto"/>
          <w:sz w:val="21"/>
          <w:szCs w:val="21"/>
          <w:highlight w:val="none"/>
        </w:rPr>
      </w:pPr>
      <w:bookmarkStart w:id="765" w:name="_Toc532377303"/>
      <w:bookmarkStart w:id="766" w:name="_Toc351203615"/>
      <w:bookmarkStart w:id="767" w:name="_Toc337558831"/>
      <w:bookmarkStart w:id="768" w:name="_Toc296346626"/>
      <w:bookmarkStart w:id="769" w:name="_Toc296503125"/>
      <w:r>
        <w:rPr>
          <w:rFonts w:hint="eastAsia"/>
          <w:color w:val="auto"/>
          <w:sz w:val="21"/>
          <w:szCs w:val="21"/>
          <w:highlight w:val="none"/>
        </w:rPr>
        <w:t>18.3其他保险</w:t>
      </w:r>
      <w:bookmarkEnd w:id="765"/>
      <w:bookmarkEnd w:id="766"/>
    </w:p>
    <w:bookmarkEnd w:id="767"/>
    <w:bookmarkEnd w:id="768"/>
    <w:bookmarkEnd w:id="769"/>
    <w:p w14:paraId="47B559D6">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发包人和承包人可以为其施工现场的全部人员办理意外伤害保险并支付保险费，包括其员工及为履行合同聘请的第三方的人员，具体事项由合同当事人在专用合同条款约定。</w:t>
      </w:r>
    </w:p>
    <w:p w14:paraId="6A0E3031">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除专用合同条款另有约定外，承包人应为其施工设备等办理财产保险。</w:t>
      </w:r>
    </w:p>
    <w:p w14:paraId="34A22535">
      <w:pPr>
        <w:pStyle w:val="7"/>
        <w:spacing w:before="0" w:beforeAutospacing="0" w:after="0" w:afterAutospacing="0" w:line="360" w:lineRule="auto"/>
        <w:ind w:firstLine="422" w:firstLineChars="200"/>
        <w:rPr>
          <w:color w:val="auto"/>
          <w:sz w:val="21"/>
          <w:szCs w:val="21"/>
          <w:highlight w:val="none"/>
        </w:rPr>
      </w:pPr>
      <w:bookmarkStart w:id="770" w:name="_Toc351203616"/>
      <w:bookmarkStart w:id="771" w:name="_Toc532377304"/>
      <w:r>
        <w:rPr>
          <w:rFonts w:hint="eastAsia"/>
          <w:color w:val="auto"/>
          <w:sz w:val="21"/>
          <w:szCs w:val="21"/>
          <w:highlight w:val="none"/>
        </w:rPr>
        <w:t>18.4持续保险</w:t>
      </w:r>
      <w:bookmarkEnd w:id="770"/>
      <w:bookmarkEnd w:id="771"/>
    </w:p>
    <w:p w14:paraId="48E323B3">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合同当事人应与保险人保持联系，使保险人能够随时了解工程实施中的变动，并确保按保险合同条款要求持续保险。</w:t>
      </w:r>
    </w:p>
    <w:p w14:paraId="6F18744A">
      <w:pPr>
        <w:pStyle w:val="7"/>
        <w:spacing w:before="0" w:beforeAutospacing="0" w:after="0" w:afterAutospacing="0" w:line="360" w:lineRule="auto"/>
        <w:ind w:firstLine="422" w:firstLineChars="200"/>
        <w:rPr>
          <w:color w:val="auto"/>
          <w:sz w:val="21"/>
          <w:szCs w:val="21"/>
          <w:highlight w:val="none"/>
        </w:rPr>
      </w:pPr>
      <w:bookmarkStart w:id="772" w:name="_Toc532377305"/>
      <w:bookmarkStart w:id="773" w:name="_Toc351203617"/>
      <w:bookmarkStart w:id="774" w:name="_Toc337558832"/>
      <w:bookmarkStart w:id="775" w:name="_Toc296503126"/>
      <w:bookmarkStart w:id="776" w:name="_Toc296346627"/>
      <w:r>
        <w:rPr>
          <w:rFonts w:hint="eastAsia"/>
          <w:color w:val="auto"/>
          <w:sz w:val="21"/>
          <w:szCs w:val="21"/>
          <w:highlight w:val="none"/>
        </w:rPr>
        <w:t>18.5 保险凭证</w:t>
      </w:r>
      <w:bookmarkEnd w:id="772"/>
      <w:bookmarkEnd w:id="773"/>
    </w:p>
    <w:bookmarkEnd w:id="774"/>
    <w:bookmarkEnd w:id="775"/>
    <w:bookmarkEnd w:id="776"/>
    <w:p w14:paraId="5EBA746C">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合同当事人应及时向另一方当事人提交其已投保的各项保险的凭证和保险单复印件。</w:t>
      </w:r>
    </w:p>
    <w:p w14:paraId="1CC3C53F">
      <w:pPr>
        <w:pStyle w:val="7"/>
        <w:spacing w:before="0" w:beforeAutospacing="0" w:after="0" w:afterAutospacing="0" w:line="360" w:lineRule="auto"/>
        <w:ind w:firstLine="422" w:firstLineChars="200"/>
        <w:rPr>
          <w:color w:val="auto"/>
          <w:sz w:val="21"/>
          <w:szCs w:val="21"/>
          <w:highlight w:val="none"/>
        </w:rPr>
      </w:pPr>
      <w:bookmarkStart w:id="777" w:name="_Toc351203618"/>
      <w:bookmarkStart w:id="778" w:name="_Toc532377306"/>
      <w:bookmarkStart w:id="779" w:name="_Toc337558833"/>
      <w:bookmarkStart w:id="780" w:name="_Toc296503127"/>
      <w:bookmarkStart w:id="781" w:name="_Toc296346628"/>
      <w:r>
        <w:rPr>
          <w:rFonts w:hint="eastAsia"/>
          <w:color w:val="auto"/>
          <w:sz w:val="21"/>
          <w:szCs w:val="21"/>
          <w:highlight w:val="none"/>
        </w:rPr>
        <w:t>18.6 未按约定投保的补救</w:t>
      </w:r>
      <w:bookmarkEnd w:id="777"/>
      <w:bookmarkEnd w:id="778"/>
    </w:p>
    <w:bookmarkEnd w:id="779"/>
    <w:bookmarkEnd w:id="780"/>
    <w:bookmarkEnd w:id="781"/>
    <w:p w14:paraId="68664B97">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18.6.1发包人未按合同约定办理保险，或未能使保险持续有效的，则承包人可代为办理，所需费用由发包人承担。发包人未按合同约定办理保险，导致未能得到足额赔偿的，由发包人负责补足。</w:t>
      </w:r>
    </w:p>
    <w:p w14:paraId="69A9297C">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18.6.2承包人未按合同约定办理保险，或未能使保险持续有效的，则发包人可代为办理，所需费用由承包人承担。承包人未按合同约定办理保险，导致未能得到足额赔偿的，由承包人负责补足。</w:t>
      </w:r>
    </w:p>
    <w:p w14:paraId="0A7E0292">
      <w:pPr>
        <w:pStyle w:val="7"/>
        <w:spacing w:before="0" w:beforeAutospacing="0" w:after="0" w:afterAutospacing="0" w:line="360" w:lineRule="auto"/>
        <w:ind w:firstLine="422" w:firstLineChars="200"/>
        <w:rPr>
          <w:color w:val="auto"/>
          <w:sz w:val="21"/>
          <w:szCs w:val="21"/>
          <w:highlight w:val="none"/>
        </w:rPr>
      </w:pPr>
      <w:bookmarkStart w:id="782" w:name="_Toc532377307"/>
      <w:bookmarkStart w:id="783" w:name="_Toc351203619"/>
      <w:bookmarkStart w:id="784" w:name="_Toc337558834"/>
      <w:r>
        <w:rPr>
          <w:rFonts w:hint="eastAsia"/>
          <w:color w:val="auto"/>
          <w:sz w:val="21"/>
          <w:szCs w:val="21"/>
          <w:highlight w:val="none"/>
        </w:rPr>
        <w:t>18.7 通知义务</w:t>
      </w:r>
      <w:bookmarkEnd w:id="782"/>
      <w:bookmarkEnd w:id="783"/>
    </w:p>
    <w:bookmarkEnd w:id="784"/>
    <w:p w14:paraId="05E6CF67">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除专用合同条款另有约定外，发包人变更除工伤保险之外的保险合同时，应事先征得承包人同意，并通知监理人；承包人变更除工伤保险之外的保险合同时，应事先征得发包人同意，并通知监理人。</w:t>
      </w:r>
    </w:p>
    <w:p w14:paraId="0CFDC323">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保险事故发生时，投保人应按照保险合同规定的条件和期限及时向保险人报告。发包人和承包人应当在知道保险事故发生后及时通知对方。</w:t>
      </w:r>
    </w:p>
    <w:p w14:paraId="41D621AB">
      <w:pPr>
        <w:pStyle w:val="6"/>
        <w:keepNext/>
        <w:keepLines/>
        <w:spacing w:before="120" w:beforeLines="50" w:after="120" w:afterLines="50" w:line="360" w:lineRule="auto"/>
        <w:jc w:val="both"/>
        <w:rPr>
          <w:bCs/>
          <w:color w:val="auto"/>
          <w:szCs w:val="21"/>
          <w:highlight w:val="none"/>
        </w:rPr>
      </w:pPr>
      <w:bookmarkStart w:id="785" w:name="_Toc532377308"/>
      <w:bookmarkStart w:id="786" w:name="_Toc532375605"/>
      <w:r>
        <w:rPr>
          <w:rFonts w:hint="eastAsia"/>
          <w:color w:val="auto"/>
          <w:szCs w:val="21"/>
          <w:highlight w:val="none"/>
        </w:rPr>
        <w:t>19. 索赔</w:t>
      </w:r>
      <w:bookmarkEnd w:id="785"/>
      <w:bookmarkEnd w:id="786"/>
    </w:p>
    <w:p w14:paraId="466322C9">
      <w:pPr>
        <w:pStyle w:val="7"/>
        <w:spacing w:before="0" w:beforeAutospacing="0" w:after="0" w:afterAutospacing="0" w:line="360" w:lineRule="auto"/>
        <w:ind w:firstLine="422" w:firstLineChars="200"/>
        <w:rPr>
          <w:color w:val="auto"/>
          <w:sz w:val="21"/>
          <w:szCs w:val="21"/>
          <w:highlight w:val="none"/>
        </w:rPr>
      </w:pPr>
      <w:bookmarkStart w:id="787" w:name="_Toc532377309"/>
      <w:r>
        <w:rPr>
          <w:rFonts w:hint="eastAsia"/>
          <w:color w:val="auto"/>
          <w:sz w:val="21"/>
          <w:szCs w:val="21"/>
          <w:highlight w:val="none"/>
        </w:rPr>
        <w:t>19.1承包人的索赔</w:t>
      </w:r>
      <w:bookmarkEnd w:id="787"/>
    </w:p>
    <w:p w14:paraId="64C6FE88">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根据合同约定，承包人认为有权得到追加付款和（或）延长工期的，应按以下程序向发包人提出索赔：</w:t>
      </w:r>
    </w:p>
    <w:p w14:paraId="512AAA2A">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（1）承包人应在知道或应当知道索赔事件发生后28天内，向监理人递交索赔意向通知书，并说明发生索赔事件的事由；承包人未在前述28天内发出索赔意向通知书的，丧失要求追加付款和（或）延长工期的权利；</w:t>
      </w:r>
    </w:p>
    <w:p w14:paraId="0745E13F">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（2）承包人应在发出索赔意向通知书后28天内，向监理人正式递交索赔报告；索赔报告应详细说明索赔理由以及要求追加的付款金额和（或）延长的工期，并附必要的记录和证明材料；</w:t>
      </w:r>
    </w:p>
    <w:p w14:paraId="53D6F045">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（3）索赔事件具有持续影响的，承包人应按合理时间间隔继续递交延续索赔通知，说明持续影响的实际情况和记录，列出累计的追加付款金额和（或）工期延长天数；</w:t>
      </w:r>
    </w:p>
    <w:p w14:paraId="1FDDAFA9">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（4）在索赔事件影响结束后28天内，承包人应向监理人递交最终索赔报告，说明最终要求索赔的追加付款金额和（或）延长的工期，并附必要的记录和证明材料。</w:t>
      </w:r>
    </w:p>
    <w:p w14:paraId="39FD648A">
      <w:pPr>
        <w:pStyle w:val="7"/>
        <w:spacing w:before="0" w:beforeAutospacing="0" w:after="0" w:afterAutospacing="0" w:line="360" w:lineRule="auto"/>
        <w:ind w:firstLine="422" w:firstLineChars="200"/>
        <w:rPr>
          <w:color w:val="auto"/>
          <w:sz w:val="21"/>
          <w:szCs w:val="21"/>
          <w:highlight w:val="none"/>
        </w:rPr>
      </w:pPr>
      <w:bookmarkStart w:id="788" w:name="_Toc351203622"/>
      <w:bookmarkStart w:id="789" w:name="_Toc532377310"/>
      <w:bookmarkStart w:id="790" w:name="_Toc296346643"/>
      <w:bookmarkStart w:id="791" w:name="_Toc337558837"/>
      <w:bookmarkStart w:id="792" w:name="_Toc296503142"/>
      <w:r>
        <w:rPr>
          <w:rFonts w:hint="eastAsia"/>
          <w:color w:val="auto"/>
          <w:sz w:val="21"/>
          <w:szCs w:val="21"/>
          <w:highlight w:val="none"/>
        </w:rPr>
        <w:t>19.2 对承包人索赔的处理</w:t>
      </w:r>
      <w:bookmarkEnd w:id="788"/>
      <w:bookmarkEnd w:id="789"/>
    </w:p>
    <w:bookmarkEnd w:id="790"/>
    <w:bookmarkEnd w:id="791"/>
    <w:bookmarkEnd w:id="792"/>
    <w:p w14:paraId="7565FAE1">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对承包人索赔的处理如下：</w:t>
      </w:r>
    </w:p>
    <w:p w14:paraId="0BB590C1">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（1）监理人应在收到索赔报告后14天内完成审查并报送发包人。监理人对索赔报告存在异议的，有权要求承包人提交全部原始记录副本；</w:t>
      </w:r>
    </w:p>
    <w:p w14:paraId="3525F939">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（2）发包人应在监理人收到索赔报告或有关索赔的进一步证明材料后的28天内，由监理人向承包人出具经发包人签认的索赔处理结果。发包人逾期答复的，则视为认可承包人的索赔要求；</w:t>
      </w:r>
    </w:p>
    <w:p w14:paraId="2FE8F721">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（3）承包人接受索赔处理结果的，索赔款项在当期进度款中进行支付；承包人不接受索赔处理结果的，按照第20条〔争议解决〕约定处理。</w:t>
      </w:r>
    </w:p>
    <w:p w14:paraId="5984B09D">
      <w:pPr>
        <w:pStyle w:val="7"/>
        <w:spacing w:before="0" w:beforeAutospacing="0" w:after="0" w:afterAutospacing="0" w:line="360" w:lineRule="auto"/>
        <w:ind w:firstLine="422" w:firstLineChars="200"/>
        <w:rPr>
          <w:color w:val="auto"/>
          <w:sz w:val="21"/>
          <w:szCs w:val="21"/>
          <w:highlight w:val="none"/>
        </w:rPr>
      </w:pPr>
      <w:bookmarkStart w:id="793" w:name="_Toc532377311"/>
      <w:bookmarkStart w:id="794" w:name="_Toc351203623"/>
      <w:bookmarkStart w:id="795" w:name="_Toc337558838"/>
      <w:bookmarkStart w:id="796" w:name="_Toc296346644"/>
      <w:bookmarkStart w:id="797" w:name="_Toc296503143"/>
      <w:r>
        <w:rPr>
          <w:rFonts w:hint="eastAsia"/>
          <w:color w:val="auto"/>
          <w:sz w:val="21"/>
          <w:szCs w:val="21"/>
          <w:highlight w:val="none"/>
        </w:rPr>
        <w:t>19.3发包人的索赔</w:t>
      </w:r>
      <w:bookmarkEnd w:id="793"/>
      <w:bookmarkEnd w:id="794"/>
    </w:p>
    <w:bookmarkEnd w:id="795"/>
    <w:bookmarkEnd w:id="796"/>
    <w:bookmarkEnd w:id="797"/>
    <w:p w14:paraId="5526B68A">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根据合同约定，发包人认为有权得到赔付金额和（或）延长缺陷责任期的，监理人应向承包人发出通知并附有详细的证明。</w:t>
      </w:r>
    </w:p>
    <w:p w14:paraId="4FEA5B58">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发包人应在知道或应当知道索赔事件发生后28天内通过监理人向承包人提出索赔意向通知书，发包人未在前述28天内发出索赔意向通知书的，丧失要求赔付金额和（或）延长缺陷责任期的权利。发包人应在发出索赔意向通知书后28天内，通过监理人向承包人正式递交索赔报告。</w:t>
      </w:r>
    </w:p>
    <w:p w14:paraId="6E2708D4">
      <w:pPr>
        <w:pStyle w:val="7"/>
        <w:spacing w:before="0" w:beforeAutospacing="0" w:after="0" w:afterAutospacing="0" w:line="360" w:lineRule="auto"/>
        <w:ind w:firstLine="422" w:firstLineChars="200"/>
        <w:rPr>
          <w:color w:val="auto"/>
          <w:sz w:val="21"/>
          <w:szCs w:val="21"/>
          <w:highlight w:val="none"/>
        </w:rPr>
      </w:pPr>
      <w:bookmarkStart w:id="798" w:name="_Toc351203624"/>
      <w:bookmarkStart w:id="799" w:name="_Toc532377312"/>
      <w:bookmarkStart w:id="800" w:name="_Toc296346645"/>
      <w:bookmarkStart w:id="801" w:name="_Toc296503144"/>
      <w:bookmarkStart w:id="802" w:name="_Toc337558839"/>
      <w:r>
        <w:rPr>
          <w:rFonts w:hint="eastAsia"/>
          <w:color w:val="auto"/>
          <w:sz w:val="21"/>
          <w:szCs w:val="21"/>
          <w:highlight w:val="none"/>
        </w:rPr>
        <w:t>19.4 对发包人索赔的处理</w:t>
      </w:r>
      <w:bookmarkEnd w:id="798"/>
      <w:bookmarkEnd w:id="799"/>
    </w:p>
    <w:bookmarkEnd w:id="800"/>
    <w:bookmarkEnd w:id="801"/>
    <w:bookmarkEnd w:id="802"/>
    <w:p w14:paraId="588B39EF">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对发包人索赔的处理如下：</w:t>
      </w:r>
    </w:p>
    <w:p w14:paraId="1D890A98">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（1）承包人收到发包人提交的索赔报告后，应及时审查索赔报告的内容、查验发包人证明材料；</w:t>
      </w:r>
    </w:p>
    <w:p w14:paraId="507B4B5A">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（2）承包人应在收到索赔报告或有关索赔的进一步证明材料后28天内，将索赔处理结果答复发包人。如果承包人未在上述期限内作出答复的，则视为对发包人索赔要求的认可；</w:t>
      </w:r>
    </w:p>
    <w:p w14:paraId="28D8F277">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（3）承包人接受索赔处理结果的，发包人可从应支付给承包人的合同价款中扣除赔付的金额或延长缺陷责任期；发包人不接受索赔处理结果的，按第20条〔争议解决〕约定处理。</w:t>
      </w:r>
    </w:p>
    <w:p w14:paraId="723CD206">
      <w:pPr>
        <w:pStyle w:val="7"/>
        <w:spacing w:before="0" w:beforeAutospacing="0" w:after="0" w:afterAutospacing="0" w:line="360" w:lineRule="auto"/>
        <w:ind w:firstLine="420" w:firstLineChars="200"/>
        <w:rPr>
          <w:b w:val="0"/>
          <w:color w:val="auto"/>
          <w:sz w:val="21"/>
          <w:szCs w:val="21"/>
          <w:highlight w:val="none"/>
        </w:rPr>
      </w:pPr>
      <w:bookmarkStart w:id="803" w:name="_Toc532377313"/>
      <w:bookmarkStart w:id="804" w:name="_Toc351203625"/>
      <w:r>
        <w:rPr>
          <w:rFonts w:hint="eastAsia"/>
          <w:b w:val="0"/>
          <w:color w:val="auto"/>
          <w:sz w:val="21"/>
          <w:szCs w:val="21"/>
          <w:highlight w:val="none"/>
        </w:rPr>
        <w:t>19.5 提出索赔的期限</w:t>
      </w:r>
      <w:bookmarkEnd w:id="803"/>
      <w:bookmarkEnd w:id="804"/>
    </w:p>
    <w:p w14:paraId="51D8CDBE">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（1）承包人按第14.2款〔竣工结算审核〕约定接收竣工付款证书后，应被视为已无权再提出在工程接收证书颁发前所发生的任何索赔。</w:t>
      </w:r>
    </w:p>
    <w:p w14:paraId="554822C9">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（2）承包人按第14.4款〔最终结清〕提交的最终结清申请单中，只限于提出工程接收证书颁发后发生的索赔。提出索赔的期限自接受最终结清证书时终止。</w:t>
      </w:r>
    </w:p>
    <w:p w14:paraId="44C8B41E">
      <w:pPr>
        <w:pStyle w:val="6"/>
        <w:keepNext/>
        <w:keepLines/>
        <w:spacing w:before="120" w:beforeLines="50" w:after="120" w:afterLines="50" w:line="360" w:lineRule="auto"/>
        <w:jc w:val="both"/>
        <w:rPr>
          <w:bCs/>
          <w:color w:val="auto"/>
          <w:szCs w:val="21"/>
          <w:highlight w:val="none"/>
        </w:rPr>
      </w:pPr>
      <w:bookmarkStart w:id="805" w:name="_Toc532377314"/>
      <w:bookmarkStart w:id="806" w:name="_Toc351203626"/>
      <w:bookmarkStart w:id="807" w:name="_Toc532375606"/>
      <w:r>
        <w:rPr>
          <w:rFonts w:hint="eastAsia"/>
          <w:color w:val="auto"/>
          <w:szCs w:val="21"/>
          <w:highlight w:val="none"/>
        </w:rPr>
        <w:t>20</w:t>
      </w:r>
      <w:bookmarkStart w:id="808" w:name="_Toc296346647"/>
      <w:bookmarkStart w:id="809" w:name="_Toc337558840"/>
      <w:bookmarkStart w:id="810" w:name="_Toc296503146"/>
      <w:r>
        <w:rPr>
          <w:rFonts w:hint="eastAsia"/>
          <w:color w:val="auto"/>
          <w:szCs w:val="21"/>
          <w:highlight w:val="none"/>
        </w:rPr>
        <w:t>. 争议解决</w:t>
      </w:r>
      <w:bookmarkEnd w:id="805"/>
      <w:bookmarkEnd w:id="806"/>
      <w:bookmarkEnd w:id="807"/>
    </w:p>
    <w:bookmarkEnd w:id="808"/>
    <w:bookmarkEnd w:id="809"/>
    <w:bookmarkEnd w:id="810"/>
    <w:p w14:paraId="242DCD48">
      <w:pPr>
        <w:pStyle w:val="7"/>
        <w:spacing w:before="0" w:beforeAutospacing="0" w:after="0" w:afterAutospacing="0" w:line="360" w:lineRule="auto"/>
        <w:ind w:firstLine="422" w:firstLineChars="200"/>
        <w:rPr>
          <w:color w:val="auto"/>
          <w:sz w:val="21"/>
          <w:szCs w:val="21"/>
          <w:highlight w:val="none"/>
        </w:rPr>
      </w:pPr>
      <w:bookmarkStart w:id="811" w:name="_Toc532377315"/>
      <w:bookmarkStart w:id="812" w:name="_Toc351203627"/>
      <w:bookmarkStart w:id="813" w:name="_Toc296346648"/>
      <w:bookmarkStart w:id="814" w:name="_Toc337558841"/>
      <w:bookmarkStart w:id="815" w:name="_Toc296503147"/>
      <w:r>
        <w:rPr>
          <w:rFonts w:hint="eastAsia"/>
          <w:color w:val="auto"/>
          <w:sz w:val="21"/>
          <w:szCs w:val="21"/>
          <w:highlight w:val="none"/>
        </w:rPr>
        <w:t>20.1和解</w:t>
      </w:r>
      <w:bookmarkEnd w:id="811"/>
      <w:bookmarkEnd w:id="812"/>
    </w:p>
    <w:bookmarkEnd w:id="813"/>
    <w:bookmarkEnd w:id="814"/>
    <w:bookmarkEnd w:id="815"/>
    <w:p w14:paraId="6FDB3755">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合同当事人可以就争议自行和解，自行和解达成协议的经双方签名并盖章后作为合同补充文件，双方均应遵照执行。</w:t>
      </w:r>
    </w:p>
    <w:p w14:paraId="7835126B">
      <w:pPr>
        <w:pStyle w:val="7"/>
        <w:spacing w:before="0" w:beforeAutospacing="0" w:after="0" w:afterAutospacing="0" w:line="360" w:lineRule="auto"/>
        <w:ind w:firstLine="422" w:firstLineChars="200"/>
        <w:rPr>
          <w:color w:val="auto"/>
          <w:sz w:val="21"/>
          <w:szCs w:val="21"/>
          <w:highlight w:val="none"/>
        </w:rPr>
      </w:pPr>
      <w:bookmarkStart w:id="816" w:name="_Toc351203628"/>
      <w:bookmarkStart w:id="817" w:name="_Toc532377316"/>
      <w:r>
        <w:rPr>
          <w:rFonts w:hint="eastAsia"/>
          <w:color w:val="auto"/>
          <w:sz w:val="21"/>
          <w:szCs w:val="21"/>
          <w:highlight w:val="none"/>
        </w:rPr>
        <w:t>20</w:t>
      </w:r>
      <w:bookmarkStart w:id="818" w:name="_Toc296503148"/>
      <w:bookmarkStart w:id="819" w:name="_Toc337558842"/>
      <w:bookmarkStart w:id="820" w:name="_Toc296346649"/>
      <w:r>
        <w:rPr>
          <w:rFonts w:hint="eastAsia"/>
          <w:color w:val="auto"/>
          <w:sz w:val="21"/>
          <w:szCs w:val="21"/>
          <w:highlight w:val="none"/>
        </w:rPr>
        <w:t>.2调解</w:t>
      </w:r>
      <w:bookmarkEnd w:id="816"/>
      <w:bookmarkEnd w:id="817"/>
    </w:p>
    <w:bookmarkEnd w:id="818"/>
    <w:bookmarkEnd w:id="819"/>
    <w:bookmarkEnd w:id="820"/>
    <w:p w14:paraId="7446F94B">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合同当事人可以就争议请求建设行政主管部门、行业协会或其他第三方进行调解，调解达成协议的，经双方签名并盖章后作为合同补充文件，双方均应遵照执行。</w:t>
      </w:r>
    </w:p>
    <w:p w14:paraId="5E81A00D">
      <w:pPr>
        <w:pStyle w:val="7"/>
        <w:spacing w:before="0" w:beforeAutospacing="0" w:after="0" w:afterAutospacing="0" w:line="360" w:lineRule="auto"/>
        <w:ind w:firstLine="422" w:firstLineChars="200"/>
        <w:rPr>
          <w:color w:val="auto"/>
          <w:sz w:val="21"/>
          <w:szCs w:val="21"/>
          <w:highlight w:val="none"/>
        </w:rPr>
      </w:pPr>
      <w:bookmarkStart w:id="821" w:name="_Toc351203629"/>
      <w:bookmarkStart w:id="822" w:name="_Toc532377317"/>
      <w:bookmarkStart w:id="823" w:name="_Toc296503149"/>
      <w:bookmarkStart w:id="824" w:name="_Toc337558843"/>
      <w:bookmarkStart w:id="825" w:name="_Toc296346650"/>
      <w:r>
        <w:rPr>
          <w:rFonts w:hint="eastAsia"/>
          <w:color w:val="auto"/>
          <w:sz w:val="21"/>
          <w:szCs w:val="21"/>
          <w:highlight w:val="none"/>
        </w:rPr>
        <w:t>20.3争议评审</w:t>
      </w:r>
      <w:bookmarkEnd w:id="821"/>
      <w:bookmarkEnd w:id="822"/>
    </w:p>
    <w:bookmarkEnd w:id="823"/>
    <w:bookmarkEnd w:id="824"/>
    <w:bookmarkEnd w:id="825"/>
    <w:p w14:paraId="733BE4C0">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 xml:space="preserve">合同当事人在专用合同条款中约定采取争议评审方式解决争议以及评审规则，并按下列约定执行： </w:t>
      </w:r>
    </w:p>
    <w:p w14:paraId="0B553889">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20.3.1 争议评审小组的确定</w:t>
      </w:r>
    </w:p>
    <w:p w14:paraId="7C239791">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合同当事人可以共同选择一名或三名争议评审员，组成争议评审小组。除专用合同条款另有约定外，合同当事人应当自合同签订后28天内，或者争议发生后14天内，选定争议评审员。</w:t>
      </w:r>
    </w:p>
    <w:p w14:paraId="565B6ED9">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 xml:space="preserve">选择一名争议评审员的，由合同当事人共同确定；选择三名争议评审员的，各自选定一名，第三名成员为首席争议评审员，由合同当事人共同确定或由合同当事人委托已选定的争议评审员共同确定，或由专用合同条款约定的评审机构指定第三名首席争议评审员。 </w:t>
      </w:r>
    </w:p>
    <w:p w14:paraId="6450A0EC">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除专用合同条款另有约定外，评审员报酬由发包人和承包人各承担一半。</w:t>
      </w:r>
    </w:p>
    <w:p w14:paraId="2893648F">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20.3.2 争议评审小组的决定</w:t>
      </w:r>
    </w:p>
    <w:p w14:paraId="76D71116">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合同当事人可在任何时间将与合同有关的任何争议共同提请争议评审小组进行评审。争议评审小组应秉持客观、公正原则，充分听取合同当事人的意见，依据相关法律、规范、标准、案例经验及商业惯例等，自收到争议评审申请报告后14天内作出书面决定，并说明理由。合同当事人可以在专用合同条款中对本项事项另行约定。</w:t>
      </w:r>
    </w:p>
    <w:p w14:paraId="65FCE8CD">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20.3.3 争议评审小组决定的效力</w:t>
      </w:r>
    </w:p>
    <w:p w14:paraId="6D261849">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争议评审小组作出的书面决定经合同当事人签名确认后，对双方具有约束力，双方应遵照执行。</w:t>
      </w:r>
    </w:p>
    <w:p w14:paraId="47C22279">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任何一方当事人不接受争议评审小组决定或不履行争议评审小组决定的，双方可选择采用其他争议解决方式。</w:t>
      </w:r>
    </w:p>
    <w:p w14:paraId="141F9FF1">
      <w:pPr>
        <w:pStyle w:val="7"/>
        <w:spacing w:before="0" w:beforeAutospacing="0" w:after="0" w:afterAutospacing="0" w:line="360" w:lineRule="auto"/>
        <w:ind w:firstLine="422" w:firstLineChars="200"/>
        <w:rPr>
          <w:color w:val="auto"/>
          <w:sz w:val="21"/>
          <w:szCs w:val="21"/>
          <w:highlight w:val="none"/>
        </w:rPr>
      </w:pPr>
      <w:bookmarkStart w:id="826" w:name="_Toc532377318"/>
      <w:bookmarkStart w:id="827" w:name="_Toc351203630"/>
      <w:bookmarkStart w:id="828" w:name="_Toc296503150"/>
      <w:bookmarkStart w:id="829" w:name="_Toc296346651"/>
      <w:bookmarkStart w:id="830" w:name="_Toc337558844"/>
      <w:r>
        <w:rPr>
          <w:rFonts w:hint="eastAsia"/>
          <w:color w:val="auto"/>
          <w:sz w:val="21"/>
          <w:szCs w:val="21"/>
          <w:highlight w:val="none"/>
        </w:rPr>
        <w:t>20.4仲裁或诉讼</w:t>
      </w:r>
      <w:bookmarkEnd w:id="826"/>
      <w:bookmarkEnd w:id="827"/>
    </w:p>
    <w:bookmarkEnd w:id="828"/>
    <w:bookmarkEnd w:id="829"/>
    <w:bookmarkEnd w:id="830"/>
    <w:p w14:paraId="4F8FC4D8">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因合同及合同有关事项产生的争议，合同当事人可以在专用合同条款中约定以下一种方式解决争议：</w:t>
      </w:r>
    </w:p>
    <w:p w14:paraId="03AE1280">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（1）向约定的仲裁委员会申请仲裁；</w:t>
      </w:r>
    </w:p>
    <w:p w14:paraId="66153446">
      <w:pPr>
        <w:autoSpaceDE w:val="0"/>
        <w:autoSpaceDN w:val="0"/>
        <w:spacing w:line="360" w:lineRule="auto"/>
        <w:ind w:firstLine="420" w:firstLineChars="200"/>
        <w:jc w:val="left"/>
        <w:rPr>
          <w:rFonts w:ascii="宋体" w:hAnsi="宋体"/>
          <w:color w:val="auto"/>
          <w:kern w:val="0"/>
          <w:szCs w:val="21"/>
          <w:highlight w:val="none"/>
        </w:rPr>
      </w:pPr>
      <w:r>
        <w:rPr>
          <w:rFonts w:hint="eastAsia" w:ascii="宋体" w:hAnsi="宋体"/>
          <w:color w:val="auto"/>
          <w:kern w:val="0"/>
          <w:szCs w:val="21"/>
          <w:highlight w:val="none"/>
        </w:rPr>
        <w:t>（2）向有管辖权的人民法院起诉。</w:t>
      </w:r>
    </w:p>
    <w:p w14:paraId="0D4678C9">
      <w:pPr>
        <w:pStyle w:val="7"/>
        <w:spacing w:before="0" w:beforeAutospacing="0" w:after="0" w:afterAutospacing="0" w:line="360" w:lineRule="auto"/>
        <w:ind w:firstLine="420" w:firstLineChars="200"/>
        <w:rPr>
          <w:b w:val="0"/>
          <w:color w:val="auto"/>
          <w:sz w:val="21"/>
          <w:szCs w:val="21"/>
          <w:highlight w:val="none"/>
        </w:rPr>
      </w:pPr>
      <w:bookmarkStart w:id="831" w:name="_Toc532377319"/>
      <w:bookmarkStart w:id="832" w:name="_Toc351203631"/>
      <w:bookmarkStart w:id="833" w:name="_Toc296346653"/>
      <w:bookmarkStart w:id="834" w:name="_Toc337558845"/>
      <w:bookmarkStart w:id="835" w:name="_Toc296503152"/>
      <w:r>
        <w:rPr>
          <w:rFonts w:hint="eastAsia"/>
          <w:b w:val="0"/>
          <w:color w:val="auto"/>
          <w:sz w:val="21"/>
          <w:szCs w:val="21"/>
          <w:highlight w:val="none"/>
        </w:rPr>
        <w:t>20.5争议解决条款效力</w:t>
      </w:r>
      <w:bookmarkEnd w:id="831"/>
      <w:bookmarkEnd w:id="832"/>
    </w:p>
    <w:bookmarkEnd w:id="833"/>
    <w:bookmarkEnd w:id="834"/>
    <w:bookmarkEnd w:id="835"/>
    <w:p w14:paraId="78F7A3C8">
      <w:pPr>
        <w:spacing w:line="360" w:lineRule="auto"/>
        <w:ind w:firstLine="420" w:firstLineChars="200"/>
        <w:jc w:val="center"/>
        <w:rPr>
          <w:rFonts w:ascii="宋体" w:hAnsi="宋体"/>
          <w:color w:val="auto"/>
          <w:kern w:val="0"/>
          <w:szCs w:val="21"/>
          <w:highlight w:val="none"/>
        </w:rPr>
      </w:pPr>
      <w:r>
        <w:rPr>
          <w:rFonts w:hint="eastAsia" w:ascii="宋体" w:hAnsi="宋体"/>
          <w:color w:val="auto"/>
          <w:kern w:val="0"/>
          <w:szCs w:val="21"/>
          <w:highlight w:val="none"/>
        </w:rPr>
        <w:t>合同有关争议解决的条款独立存在，合同的变更、解除、终止、无效或者被撤销均不影响其效力。</w:t>
      </w:r>
      <w:r>
        <w:rPr>
          <w:rFonts w:hint="eastAsia" w:ascii="宋体" w:hAnsi="宋体"/>
          <w:b/>
          <w:bCs/>
          <w:color w:val="auto"/>
          <w:szCs w:val="21"/>
          <w:highlight w:val="none"/>
          <w:lang w:val="zh-CN"/>
        </w:rPr>
        <w:br w:type="page"/>
      </w:r>
      <w:r>
        <w:rPr>
          <w:rFonts w:hint="eastAsia" w:ascii="宋体" w:hAnsi="宋体" w:cs="宋体"/>
          <w:color w:val="auto"/>
          <w:sz w:val="44"/>
          <w:szCs w:val="44"/>
          <w:highlight w:val="none"/>
        </w:rPr>
        <w:t>第三部分 专用合同条款</w:t>
      </w:r>
      <w:bookmarkEnd w:id="275"/>
    </w:p>
    <w:bookmarkEnd w:id="276"/>
    <w:p w14:paraId="5AA5E964">
      <w:pPr>
        <w:pStyle w:val="6"/>
        <w:spacing w:line="360" w:lineRule="auto"/>
        <w:jc w:val="left"/>
        <w:rPr>
          <w:rFonts w:ascii="宋体" w:hAnsi="宋体" w:cs="宋体"/>
          <w:b/>
          <w:color w:val="auto"/>
          <w:szCs w:val="21"/>
          <w:highlight w:val="none"/>
        </w:rPr>
      </w:pPr>
      <w:bookmarkStart w:id="836" w:name="_Toc351203633"/>
      <w:r>
        <w:rPr>
          <w:rFonts w:hint="eastAsia" w:ascii="宋体" w:hAnsi="宋体" w:cs="宋体"/>
          <w:b/>
          <w:color w:val="auto"/>
          <w:szCs w:val="21"/>
          <w:highlight w:val="none"/>
        </w:rPr>
        <w:t>1</w:t>
      </w:r>
      <w:bookmarkStart w:id="837" w:name="_Toc296503156"/>
      <w:bookmarkStart w:id="838" w:name="_Toc292559361"/>
      <w:bookmarkStart w:id="839" w:name="_Toc296891196"/>
      <w:bookmarkStart w:id="840" w:name="_Toc296890984"/>
      <w:bookmarkStart w:id="841" w:name="_Toc297048342"/>
      <w:bookmarkStart w:id="842" w:name="_Toc292559866"/>
      <w:bookmarkStart w:id="843" w:name="_Toc296347155"/>
      <w:bookmarkStart w:id="844" w:name="_Toc296346657"/>
      <w:bookmarkStart w:id="845" w:name="_Toc296944495"/>
      <w:bookmarkStart w:id="846" w:name="_Toc297120456"/>
      <w:r>
        <w:rPr>
          <w:rFonts w:hint="eastAsia" w:ascii="宋体" w:hAnsi="宋体" w:cs="宋体"/>
          <w:b/>
          <w:color w:val="auto"/>
          <w:szCs w:val="21"/>
          <w:highlight w:val="none"/>
        </w:rPr>
        <w:t>. 一般约定</w:t>
      </w:r>
      <w:bookmarkEnd w:id="836"/>
    </w:p>
    <w:bookmarkEnd w:id="837"/>
    <w:bookmarkEnd w:id="838"/>
    <w:bookmarkEnd w:id="839"/>
    <w:bookmarkEnd w:id="840"/>
    <w:bookmarkEnd w:id="841"/>
    <w:bookmarkEnd w:id="842"/>
    <w:bookmarkEnd w:id="843"/>
    <w:bookmarkEnd w:id="844"/>
    <w:bookmarkEnd w:id="845"/>
    <w:bookmarkEnd w:id="846"/>
    <w:p w14:paraId="75170095">
      <w:pPr>
        <w:spacing w:line="360" w:lineRule="auto"/>
        <w:ind w:firstLine="422" w:firstLineChars="200"/>
        <w:rPr>
          <w:rFonts w:ascii="宋体" w:hAnsi="宋体" w:cs="宋体"/>
          <w:b/>
          <w:bCs/>
          <w:color w:val="auto"/>
          <w:szCs w:val="21"/>
          <w:highlight w:val="none"/>
        </w:rPr>
      </w:pPr>
      <w:r>
        <w:rPr>
          <w:rFonts w:hint="eastAsia" w:ascii="宋体" w:hAnsi="宋体" w:cs="宋体"/>
          <w:b/>
          <w:bCs/>
          <w:color w:val="auto"/>
          <w:szCs w:val="21"/>
          <w:highlight w:val="none"/>
        </w:rPr>
        <w:t>1.1 词语定义与解释</w:t>
      </w:r>
    </w:p>
    <w:p w14:paraId="3951C073">
      <w:pPr>
        <w:spacing w:line="360" w:lineRule="auto"/>
        <w:ind w:firstLine="420" w:firstLineChars="200"/>
        <w:rPr>
          <w:rFonts w:ascii="宋体" w:hAnsi="宋体" w:cs="宋体"/>
          <w:color w:val="auto"/>
          <w:kern w:val="0"/>
          <w:szCs w:val="21"/>
          <w:highlight w:val="none"/>
        </w:rPr>
      </w:pPr>
      <w:r>
        <w:rPr>
          <w:rFonts w:hint="eastAsia" w:ascii="宋体" w:hAnsi="宋体" w:cs="宋体"/>
          <w:color w:val="auto"/>
          <w:kern w:val="0"/>
          <w:szCs w:val="21"/>
          <w:highlight w:val="none"/>
        </w:rPr>
        <w:t>1.1.1合同</w:t>
      </w:r>
    </w:p>
    <w:p w14:paraId="5833E72C">
      <w:pPr>
        <w:spacing w:line="480" w:lineRule="exact"/>
        <w:ind w:firstLine="420" w:firstLineChars="200"/>
        <w:rPr>
          <w:rFonts w:ascii="宋体" w:hAnsi="宋体" w:cs="宋体"/>
          <w:color w:val="auto"/>
          <w:kern w:val="0"/>
          <w:szCs w:val="21"/>
          <w:highlight w:val="none"/>
        </w:rPr>
      </w:pPr>
      <w:r>
        <w:rPr>
          <w:rFonts w:hint="eastAsia" w:ascii="宋体" w:hAnsi="宋体" w:cs="宋体"/>
          <w:color w:val="auto"/>
          <w:kern w:val="0"/>
          <w:szCs w:val="21"/>
          <w:highlight w:val="none"/>
        </w:rPr>
        <w:t>1.1.1.10其他合同文件包括：</w:t>
      </w:r>
      <w:r>
        <w:rPr>
          <w:rFonts w:hint="eastAsia" w:ascii="宋体" w:hAnsi="宋体" w:cs="宋体"/>
          <w:color w:val="auto"/>
          <w:szCs w:val="21"/>
          <w:highlight w:val="none"/>
          <w:u w:val="single"/>
        </w:rPr>
        <w:t xml:space="preserve">                     </w:t>
      </w:r>
      <w:r>
        <w:rPr>
          <w:rFonts w:hint="eastAsia" w:ascii="宋体" w:hAnsi="宋体" w:cs="宋体"/>
          <w:color w:val="auto"/>
          <w:szCs w:val="21"/>
          <w:highlight w:val="none"/>
        </w:rPr>
        <w:t>。</w:t>
      </w:r>
    </w:p>
    <w:p w14:paraId="59E45289">
      <w:pPr>
        <w:spacing w:line="480" w:lineRule="exact"/>
        <w:ind w:firstLine="420" w:firstLineChars="200"/>
        <w:rPr>
          <w:rFonts w:ascii="宋体" w:hAnsi="宋体" w:cs="宋体"/>
          <w:color w:val="auto"/>
          <w:szCs w:val="21"/>
          <w:highlight w:val="none"/>
        </w:rPr>
      </w:pPr>
      <w:r>
        <w:rPr>
          <w:rFonts w:hint="eastAsia" w:ascii="宋体" w:hAnsi="宋体" w:cs="宋体"/>
          <w:color w:val="auto"/>
          <w:szCs w:val="21"/>
          <w:highlight w:val="none"/>
        </w:rPr>
        <w:t>1.1.2 合同当事人及其他相关方</w:t>
      </w:r>
    </w:p>
    <w:p w14:paraId="76B4BE10">
      <w:pPr>
        <w:spacing w:line="480" w:lineRule="exact"/>
        <w:ind w:firstLine="420" w:firstLineChars="200"/>
        <w:rPr>
          <w:rFonts w:ascii="宋体" w:hAnsi="宋体" w:cs="宋体"/>
          <w:color w:val="auto"/>
          <w:szCs w:val="21"/>
          <w:highlight w:val="none"/>
        </w:rPr>
      </w:pPr>
      <w:bookmarkStart w:id="847" w:name="OLE_LINK18"/>
      <w:bookmarkStart w:id="848" w:name="OLE_LINK19"/>
      <w:r>
        <w:rPr>
          <w:rFonts w:hint="eastAsia" w:ascii="宋体" w:hAnsi="宋体" w:cs="宋体"/>
          <w:color w:val="auto"/>
          <w:szCs w:val="21"/>
          <w:highlight w:val="none"/>
        </w:rPr>
        <w:t>1.1.2.2  发包人：</w:t>
      </w:r>
      <w:r>
        <w:rPr>
          <w:rFonts w:hint="eastAsia" w:ascii="宋体" w:hAnsi="宋体" w:cs="宋体"/>
          <w:color w:val="auto"/>
          <w:szCs w:val="21"/>
          <w:highlight w:val="none"/>
          <w:u w:val="single"/>
        </w:rPr>
        <w:t xml:space="preserve">                 。</w:t>
      </w:r>
      <w:r>
        <w:rPr>
          <w:rFonts w:hint="eastAsia" w:ascii="宋体" w:hAnsi="宋体" w:cs="宋体"/>
          <w:color w:val="auto"/>
          <w:szCs w:val="21"/>
          <w:highlight w:val="none"/>
        </w:rPr>
        <w:t xml:space="preserve">                                                     </w:t>
      </w:r>
    </w:p>
    <w:p w14:paraId="33064C4F">
      <w:pPr>
        <w:spacing w:line="480" w:lineRule="exact"/>
        <w:ind w:firstLine="420" w:firstLineChars="200"/>
        <w:jc w:val="left"/>
        <w:rPr>
          <w:rFonts w:ascii="宋体" w:hAnsi="宋体" w:cs="宋体"/>
          <w:color w:val="auto"/>
          <w:szCs w:val="21"/>
          <w:highlight w:val="none"/>
        </w:rPr>
      </w:pPr>
      <w:r>
        <w:rPr>
          <w:rFonts w:hint="eastAsia" w:ascii="宋体" w:hAnsi="宋体" w:cs="宋体"/>
          <w:color w:val="auto"/>
          <w:szCs w:val="21"/>
          <w:highlight w:val="none"/>
        </w:rPr>
        <w:t>1.1.2.3  承包人：</w:t>
      </w:r>
      <w:r>
        <w:rPr>
          <w:rFonts w:hint="eastAsia" w:ascii="宋体" w:hAnsi="宋体" w:cs="宋体"/>
          <w:color w:val="auto"/>
          <w:szCs w:val="21"/>
          <w:highlight w:val="none"/>
          <w:u w:val="single"/>
        </w:rPr>
        <w:t xml:space="preserve">                             。 </w:t>
      </w:r>
      <w:r>
        <w:rPr>
          <w:rFonts w:hint="eastAsia" w:ascii="宋体" w:hAnsi="宋体" w:cs="宋体"/>
          <w:color w:val="auto"/>
          <w:szCs w:val="21"/>
          <w:highlight w:val="none"/>
        </w:rPr>
        <w:t xml:space="preserve">       </w:t>
      </w:r>
      <w:bookmarkEnd w:id="847"/>
      <w:bookmarkEnd w:id="848"/>
      <w:r>
        <w:rPr>
          <w:rFonts w:hint="eastAsia" w:ascii="宋体" w:hAnsi="宋体" w:cs="宋体"/>
          <w:color w:val="auto"/>
          <w:szCs w:val="21"/>
          <w:highlight w:val="none"/>
        </w:rPr>
        <w:t xml:space="preserve">                                              </w:t>
      </w:r>
    </w:p>
    <w:p w14:paraId="50031F42">
      <w:pPr>
        <w:spacing w:line="480" w:lineRule="exact"/>
        <w:ind w:firstLine="420" w:firstLineChars="200"/>
        <w:rPr>
          <w:rFonts w:ascii="宋体" w:hAnsi="宋体" w:cs="宋体"/>
          <w:color w:val="auto"/>
          <w:szCs w:val="21"/>
          <w:highlight w:val="none"/>
        </w:rPr>
      </w:pPr>
      <w:r>
        <w:rPr>
          <w:rFonts w:hint="eastAsia" w:ascii="宋体" w:hAnsi="宋体" w:cs="宋体"/>
          <w:color w:val="auto"/>
          <w:szCs w:val="21"/>
          <w:highlight w:val="none"/>
        </w:rPr>
        <w:t>1.1.2.4  监理人：</w:t>
      </w:r>
      <w:r>
        <w:rPr>
          <w:rFonts w:hint="eastAsia" w:ascii="宋体" w:hAnsi="宋体" w:cs="宋体"/>
          <w:color w:val="auto"/>
          <w:szCs w:val="21"/>
          <w:highlight w:val="none"/>
          <w:u w:val="single"/>
        </w:rPr>
        <w:t xml:space="preserve">                                </w:t>
      </w:r>
      <w:r>
        <w:rPr>
          <w:rFonts w:hint="eastAsia" w:ascii="宋体" w:hAnsi="宋体" w:cs="宋体"/>
          <w:color w:val="auto"/>
          <w:szCs w:val="21"/>
          <w:highlight w:val="none"/>
        </w:rPr>
        <w:t>；</w:t>
      </w:r>
    </w:p>
    <w:p w14:paraId="067B9550">
      <w:pPr>
        <w:spacing w:line="480" w:lineRule="exact"/>
        <w:ind w:firstLine="420" w:firstLineChars="200"/>
        <w:rPr>
          <w:rFonts w:ascii="宋体" w:hAnsi="宋体" w:cs="宋体"/>
          <w:color w:val="auto"/>
          <w:szCs w:val="21"/>
          <w:highlight w:val="none"/>
        </w:rPr>
      </w:pPr>
      <w:r>
        <w:rPr>
          <w:rFonts w:hint="eastAsia" w:ascii="宋体" w:hAnsi="宋体" w:cs="宋体"/>
          <w:color w:val="auto"/>
          <w:szCs w:val="21"/>
          <w:highlight w:val="none"/>
        </w:rPr>
        <w:t>资质类别和等级：</w:t>
      </w:r>
      <w:r>
        <w:rPr>
          <w:rFonts w:hint="eastAsia" w:ascii="宋体" w:hAnsi="宋体" w:cs="宋体"/>
          <w:color w:val="auto"/>
          <w:szCs w:val="21"/>
          <w:highlight w:val="none"/>
          <w:u w:val="single"/>
        </w:rPr>
        <w:t xml:space="preserve">                                 </w:t>
      </w:r>
      <w:r>
        <w:rPr>
          <w:rFonts w:hint="eastAsia" w:ascii="宋体" w:hAnsi="宋体" w:cs="宋体"/>
          <w:color w:val="auto"/>
          <w:szCs w:val="21"/>
          <w:highlight w:val="none"/>
        </w:rPr>
        <w:t>；</w:t>
      </w:r>
    </w:p>
    <w:p w14:paraId="260D037F">
      <w:pPr>
        <w:spacing w:line="480" w:lineRule="exact"/>
        <w:ind w:firstLine="420" w:firstLineChars="200"/>
        <w:rPr>
          <w:rFonts w:ascii="宋体" w:hAnsi="宋体" w:cs="宋体"/>
          <w:color w:val="auto"/>
          <w:szCs w:val="21"/>
          <w:highlight w:val="none"/>
        </w:rPr>
      </w:pPr>
      <w:r>
        <w:rPr>
          <w:rFonts w:hint="eastAsia" w:ascii="宋体" w:hAnsi="宋体" w:cs="宋体"/>
          <w:color w:val="auto"/>
          <w:szCs w:val="21"/>
          <w:highlight w:val="none"/>
        </w:rPr>
        <w:t>联系电话：</w:t>
      </w:r>
      <w:r>
        <w:rPr>
          <w:rFonts w:hint="eastAsia" w:ascii="宋体" w:hAnsi="宋体" w:cs="宋体"/>
          <w:color w:val="auto"/>
          <w:szCs w:val="21"/>
          <w:highlight w:val="none"/>
          <w:u w:val="single"/>
        </w:rPr>
        <w:t xml:space="preserve">                                       </w:t>
      </w:r>
      <w:r>
        <w:rPr>
          <w:rFonts w:hint="eastAsia" w:ascii="宋体" w:hAnsi="宋体" w:cs="宋体"/>
          <w:color w:val="auto"/>
          <w:szCs w:val="21"/>
          <w:highlight w:val="none"/>
        </w:rPr>
        <w:t>；</w:t>
      </w:r>
    </w:p>
    <w:p w14:paraId="4356C424">
      <w:pPr>
        <w:spacing w:line="480" w:lineRule="exact"/>
        <w:ind w:firstLine="420" w:firstLineChars="200"/>
        <w:rPr>
          <w:rFonts w:ascii="宋体" w:hAnsi="宋体" w:cs="宋体"/>
          <w:color w:val="auto"/>
          <w:szCs w:val="21"/>
          <w:highlight w:val="none"/>
        </w:rPr>
      </w:pPr>
      <w:r>
        <w:rPr>
          <w:rFonts w:hint="eastAsia" w:ascii="宋体" w:hAnsi="宋体" w:cs="宋体"/>
          <w:color w:val="auto"/>
          <w:szCs w:val="21"/>
          <w:highlight w:val="none"/>
        </w:rPr>
        <w:t>电子信箱：</w:t>
      </w:r>
      <w:r>
        <w:rPr>
          <w:rFonts w:hint="eastAsia" w:ascii="宋体" w:hAnsi="宋体" w:cs="宋体"/>
          <w:color w:val="auto"/>
          <w:szCs w:val="21"/>
          <w:highlight w:val="none"/>
          <w:u w:val="single"/>
        </w:rPr>
        <w:t xml:space="preserve">                                       </w:t>
      </w:r>
      <w:r>
        <w:rPr>
          <w:rFonts w:hint="eastAsia" w:ascii="宋体" w:hAnsi="宋体" w:cs="宋体"/>
          <w:color w:val="auto"/>
          <w:szCs w:val="21"/>
          <w:highlight w:val="none"/>
        </w:rPr>
        <w:t>；</w:t>
      </w:r>
    </w:p>
    <w:p w14:paraId="0D1257BB">
      <w:pPr>
        <w:spacing w:line="480" w:lineRule="exact"/>
        <w:ind w:firstLine="420" w:firstLineChars="200"/>
        <w:rPr>
          <w:rFonts w:ascii="宋体" w:hAnsi="宋体" w:cs="宋体"/>
          <w:color w:val="auto"/>
          <w:szCs w:val="21"/>
          <w:highlight w:val="none"/>
        </w:rPr>
      </w:pPr>
      <w:r>
        <w:rPr>
          <w:rFonts w:hint="eastAsia" w:ascii="宋体" w:hAnsi="宋体" w:cs="宋体"/>
          <w:color w:val="auto"/>
          <w:szCs w:val="21"/>
          <w:highlight w:val="none"/>
        </w:rPr>
        <w:t>通信地址：</w:t>
      </w:r>
      <w:r>
        <w:rPr>
          <w:rFonts w:hint="eastAsia" w:ascii="宋体" w:hAnsi="宋体" w:cs="宋体"/>
          <w:color w:val="auto"/>
          <w:szCs w:val="21"/>
          <w:highlight w:val="none"/>
          <w:u w:val="single"/>
        </w:rPr>
        <w:t xml:space="preserve">                                       </w:t>
      </w:r>
      <w:r>
        <w:rPr>
          <w:rFonts w:hint="eastAsia" w:ascii="宋体" w:hAnsi="宋体" w:cs="宋体"/>
          <w:color w:val="auto"/>
          <w:szCs w:val="21"/>
          <w:highlight w:val="none"/>
        </w:rPr>
        <w:t>。</w:t>
      </w:r>
    </w:p>
    <w:p w14:paraId="3677695F">
      <w:pPr>
        <w:spacing w:line="480" w:lineRule="exact"/>
        <w:ind w:firstLine="420" w:firstLineChars="200"/>
        <w:rPr>
          <w:rFonts w:ascii="宋体" w:hAnsi="宋体" w:cs="宋体"/>
          <w:color w:val="auto"/>
          <w:szCs w:val="21"/>
          <w:highlight w:val="none"/>
        </w:rPr>
      </w:pPr>
      <w:r>
        <w:rPr>
          <w:rFonts w:hint="eastAsia" w:ascii="宋体" w:hAnsi="宋体" w:cs="宋体"/>
          <w:color w:val="auto"/>
          <w:szCs w:val="21"/>
          <w:highlight w:val="none"/>
        </w:rPr>
        <w:t>1.1.2.5 设计人：</w:t>
      </w:r>
    </w:p>
    <w:p w14:paraId="1031D542">
      <w:pPr>
        <w:spacing w:line="480" w:lineRule="exact"/>
        <w:ind w:firstLine="420" w:firstLineChars="200"/>
        <w:rPr>
          <w:rFonts w:ascii="宋体" w:hAnsi="宋体" w:cs="宋体"/>
          <w:color w:val="auto"/>
          <w:szCs w:val="21"/>
          <w:highlight w:val="none"/>
        </w:rPr>
      </w:pPr>
      <w:r>
        <w:rPr>
          <w:rFonts w:hint="eastAsia" w:ascii="宋体" w:hAnsi="宋体" w:cs="宋体"/>
          <w:color w:val="auto"/>
          <w:szCs w:val="21"/>
          <w:highlight w:val="none"/>
        </w:rPr>
        <w:t>名    称：</w:t>
      </w:r>
      <w:r>
        <w:rPr>
          <w:rFonts w:hint="eastAsia" w:ascii="宋体" w:hAnsi="宋体" w:cs="宋体"/>
          <w:color w:val="auto"/>
          <w:szCs w:val="21"/>
          <w:highlight w:val="none"/>
          <w:u w:val="single"/>
        </w:rPr>
        <w:t xml:space="preserve">                                        </w:t>
      </w:r>
      <w:r>
        <w:rPr>
          <w:rFonts w:hint="eastAsia" w:ascii="宋体" w:hAnsi="宋体" w:cs="宋体"/>
          <w:color w:val="auto"/>
          <w:szCs w:val="21"/>
          <w:highlight w:val="none"/>
        </w:rPr>
        <w:t>；</w:t>
      </w:r>
    </w:p>
    <w:p w14:paraId="5352B5C4">
      <w:pPr>
        <w:spacing w:line="480" w:lineRule="exact"/>
        <w:ind w:firstLine="420" w:firstLineChars="200"/>
        <w:rPr>
          <w:rFonts w:ascii="宋体" w:hAnsi="宋体" w:cs="宋体"/>
          <w:color w:val="auto"/>
          <w:szCs w:val="21"/>
          <w:highlight w:val="none"/>
        </w:rPr>
      </w:pPr>
      <w:r>
        <w:rPr>
          <w:rFonts w:hint="eastAsia" w:ascii="宋体" w:hAnsi="宋体" w:cs="宋体"/>
          <w:color w:val="auto"/>
          <w:szCs w:val="21"/>
          <w:highlight w:val="none"/>
        </w:rPr>
        <w:t>资质类别和等级：</w:t>
      </w:r>
      <w:r>
        <w:rPr>
          <w:rFonts w:hint="eastAsia" w:ascii="宋体" w:hAnsi="宋体" w:cs="宋体"/>
          <w:color w:val="auto"/>
          <w:szCs w:val="21"/>
          <w:highlight w:val="none"/>
          <w:u w:val="single"/>
        </w:rPr>
        <w:t xml:space="preserve">                                  </w:t>
      </w:r>
      <w:r>
        <w:rPr>
          <w:rFonts w:hint="eastAsia" w:ascii="宋体" w:hAnsi="宋体" w:cs="宋体"/>
          <w:color w:val="auto"/>
          <w:szCs w:val="21"/>
          <w:highlight w:val="none"/>
        </w:rPr>
        <w:t>；</w:t>
      </w:r>
    </w:p>
    <w:p w14:paraId="68575AA7">
      <w:pPr>
        <w:spacing w:line="480" w:lineRule="exact"/>
        <w:ind w:firstLine="420" w:firstLineChars="200"/>
        <w:rPr>
          <w:rFonts w:ascii="宋体" w:hAnsi="宋体" w:cs="宋体"/>
          <w:color w:val="auto"/>
          <w:szCs w:val="21"/>
          <w:highlight w:val="none"/>
        </w:rPr>
      </w:pPr>
      <w:r>
        <w:rPr>
          <w:rFonts w:hint="eastAsia" w:ascii="宋体" w:hAnsi="宋体" w:cs="宋体"/>
          <w:color w:val="auto"/>
          <w:szCs w:val="21"/>
          <w:highlight w:val="none"/>
        </w:rPr>
        <w:t>联系电话：</w:t>
      </w:r>
      <w:r>
        <w:rPr>
          <w:rFonts w:hint="eastAsia" w:ascii="宋体" w:hAnsi="宋体" w:cs="宋体"/>
          <w:color w:val="auto"/>
          <w:szCs w:val="21"/>
          <w:highlight w:val="none"/>
          <w:u w:val="single"/>
        </w:rPr>
        <w:t xml:space="preserve">                                        </w:t>
      </w:r>
      <w:r>
        <w:rPr>
          <w:rFonts w:hint="eastAsia" w:ascii="宋体" w:hAnsi="宋体" w:cs="宋体"/>
          <w:color w:val="auto"/>
          <w:szCs w:val="21"/>
          <w:highlight w:val="none"/>
        </w:rPr>
        <w:t>；</w:t>
      </w:r>
    </w:p>
    <w:p w14:paraId="19979220">
      <w:pPr>
        <w:spacing w:line="480" w:lineRule="exact"/>
        <w:ind w:firstLine="420" w:firstLineChars="200"/>
        <w:rPr>
          <w:rFonts w:ascii="宋体" w:hAnsi="宋体" w:cs="宋体"/>
          <w:color w:val="auto"/>
          <w:szCs w:val="21"/>
          <w:highlight w:val="none"/>
        </w:rPr>
      </w:pPr>
      <w:r>
        <w:rPr>
          <w:rFonts w:hint="eastAsia" w:ascii="宋体" w:hAnsi="宋体" w:cs="宋体"/>
          <w:color w:val="auto"/>
          <w:szCs w:val="21"/>
          <w:highlight w:val="none"/>
        </w:rPr>
        <w:t>电子信箱：</w:t>
      </w:r>
      <w:r>
        <w:rPr>
          <w:rFonts w:hint="eastAsia" w:ascii="宋体" w:hAnsi="宋体" w:cs="宋体"/>
          <w:color w:val="auto"/>
          <w:szCs w:val="21"/>
          <w:highlight w:val="none"/>
          <w:u w:val="single"/>
        </w:rPr>
        <w:t xml:space="preserve">                                        </w:t>
      </w:r>
      <w:r>
        <w:rPr>
          <w:rFonts w:hint="eastAsia" w:ascii="宋体" w:hAnsi="宋体" w:cs="宋体"/>
          <w:color w:val="auto"/>
          <w:szCs w:val="21"/>
          <w:highlight w:val="none"/>
        </w:rPr>
        <w:t>；</w:t>
      </w:r>
    </w:p>
    <w:p w14:paraId="60BF388A">
      <w:pPr>
        <w:spacing w:line="480" w:lineRule="exact"/>
        <w:ind w:firstLine="420" w:firstLineChars="200"/>
        <w:rPr>
          <w:rFonts w:ascii="宋体" w:hAnsi="宋体" w:cs="宋体"/>
          <w:color w:val="auto"/>
          <w:szCs w:val="21"/>
          <w:highlight w:val="none"/>
        </w:rPr>
      </w:pPr>
      <w:r>
        <w:rPr>
          <w:rFonts w:hint="eastAsia" w:ascii="宋体" w:hAnsi="宋体" w:cs="宋体"/>
          <w:color w:val="auto"/>
          <w:szCs w:val="21"/>
          <w:highlight w:val="none"/>
        </w:rPr>
        <w:t>通信地址：</w:t>
      </w:r>
      <w:r>
        <w:rPr>
          <w:rFonts w:hint="eastAsia" w:ascii="宋体" w:hAnsi="宋体" w:cs="宋体"/>
          <w:color w:val="auto"/>
          <w:szCs w:val="21"/>
          <w:highlight w:val="none"/>
          <w:u w:val="single"/>
        </w:rPr>
        <w:t xml:space="preserve">                                        </w:t>
      </w:r>
      <w:r>
        <w:rPr>
          <w:rFonts w:hint="eastAsia" w:ascii="宋体" w:hAnsi="宋体" w:cs="宋体"/>
          <w:color w:val="auto"/>
          <w:szCs w:val="21"/>
          <w:highlight w:val="none"/>
        </w:rPr>
        <w:t>。</w:t>
      </w:r>
    </w:p>
    <w:p w14:paraId="60B4D864">
      <w:pPr>
        <w:spacing w:line="480" w:lineRule="exact"/>
        <w:ind w:firstLine="420" w:firstLineChars="200"/>
        <w:rPr>
          <w:rFonts w:ascii="宋体" w:hAnsi="宋体" w:cs="宋体"/>
          <w:color w:val="auto"/>
          <w:szCs w:val="21"/>
          <w:highlight w:val="none"/>
        </w:rPr>
      </w:pPr>
      <w:r>
        <w:rPr>
          <w:rFonts w:hint="eastAsia" w:ascii="宋体" w:hAnsi="宋体" w:cs="宋体"/>
          <w:color w:val="auto"/>
          <w:szCs w:val="21"/>
          <w:highlight w:val="none"/>
        </w:rPr>
        <w:t>1.1.3 工程和设备</w:t>
      </w:r>
    </w:p>
    <w:p w14:paraId="39CD37E9">
      <w:pPr>
        <w:spacing w:line="480" w:lineRule="exact"/>
        <w:ind w:firstLine="420" w:firstLineChars="200"/>
        <w:rPr>
          <w:rFonts w:ascii="宋体" w:hAnsi="宋体" w:cs="宋体"/>
          <w:color w:val="auto"/>
          <w:szCs w:val="21"/>
          <w:highlight w:val="none"/>
          <w:u w:val="single"/>
        </w:rPr>
      </w:pPr>
      <w:r>
        <w:rPr>
          <w:rFonts w:hint="eastAsia" w:ascii="宋体" w:hAnsi="宋体" w:cs="宋体"/>
          <w:color w:val="auto"/>
          <w:szCs w:val="21"/>
          <w:highlight w:val="none"/>
        </w:rPr>
        <w:t>1.1.3.7 作为施工现场组成部分的其他场所包括：</w:t>
      </w:r>
      <w:r>
        <w:rPr>
          <w:rFonts w:hint="eastAsia" w:ascii="宋体" w:hAnsi="宋体" w:cs="宋体"/>
          <w:color w:val="auto"/>
          <w:szCs w:val="21"/>
          <w:highlight w:val="none"/>
          <w:u w:val="single"/>
        </w:rPr>
        <w:t xml:space="preserve">           </w:t>
      </w:r>
      <w:r>
        <w:rPr>
          <w:rFonts w:hint="eastAsia" w:ascii="宋体" w:hAnsi="宋体" w:cs="宋体"/>
          <w:color w:val="auto"/>
          <w:szCs w:val="21"/>
          <w:highlight w:val="none"/>
        </w:rPr>
        <w:t>。</w:t>
      </w:r>
    </w:p>
    <w:p w14:paraId="04617619">
      <w:pPr>
        <w:spacing w:line="480" w:lineRule="exact"/>
        <w:ind w:firstLine="420" w:firstLineChars="200"/>
        <w:jc w:val="left"/>
        <w:rPr>
          <w:rFonts w:ascii="宋体" w:hAnsi="宋体" w:cs="宋体"/>
          <w:color w:val="auto"/>
          <w:kern w:val="0"/>
          <w:szCs w:val="21"/>
          <w:highlight w:val="none"/>
        </w:rPr>
      </w:pPr>
      <w:r>
        <w:rPr>
          <w:rFonts w:hint="eastAsia" w:ascii="宋体" w:hAnsi="宋体" w:cs="宋体"/>
          <w:color w:val="auto"/>
          <w:kern w:val="0"/>
          <w:szCs w:val="21"/>
          <w:highlight w:val="none"/>
        </w:rPr>
        <w:t>1.1.3.9 永久占地包括：</w:t>
      </w:r>
      <w:r>
        <w:rPr>
          <w:rFonts w:hint="eastAsia" w:ascii="宋体" w:hAnsi="宋体" w:cs="宋体"/>
          <w:color w:val="auto"/>
          <w:szCs w:val="21"/>
          <w:highlight w:val="none"/>
          <w:u w:val="single"/>
        </w:rPr>
        <w:t xml:space="preserve">                                 </w:t>
      </w:r>
      <w:r>
        <w:rPr>
          <w:rFonts w:hint="eastAsia" w:ascii="宋体" w:hAnsi="宋体" w:cs="宋体"/>
          <w:color w:val="auto"/>
          <w:kern w:val="0"/>
          <w:szCs w:val="21"/>
          <w:highlight w:val="none"/>
        </w:rPr>
        <w:t>。</w:t>
      </w:r>
    </w:p>
    <w:p w14:paraId="2D1FB93C">
      <w:pPr>
        <w:spacing w:line="480" w:lineRule="exact"/>
        <w:ind w:firstLine="420" w:firstLineChars="200"/>
        <w:jc w:val="left"/>
        <w:rPr>
          <w:rFonts w:ascii="宋体" w:hAnsi="宋体" w:cs="宋体"/>
          <w:color w:val="auto"/>
          <w:kern w:val="0"/>
          <w:szCs w:val="21"/>
          <w:highlight w:val="none"/>
        </w:rPr>
      </w:pPr>
      <w:r>
        <w:rPr>
          <w:rFonts w:hint="eastAsia" w:ascii="宋体" w:hAnsi="宋体" w:cs="宋体"/>
          <w:color w:val="auto"/>
          <w:kern w:val="0"/>
          <w:szCs w:val="21"/>
          <w:highlight w:val="none"/>
        </w:rPr>
        <w:t>1.1.3.10 临时占地包括：</w:t>
      </w:r>
      <w:r>
        <w:rPr>
          <w:rFonts w:hint="eastAsia" w:ascii="宋体" w:hAnsi="宋体" w:cs="宋体"/>
          <w:color w:val="auto"/>
          <w:szCs w:val="21"/>
          <w:highlight w:val="none"/>
          <w:u w:val="single"/>
        </w:rPr>
        <w:t xml:space="preserve">                                </w:t>
      </w:r>
      <w:r>
        <w:rPr>
          <w:rFonts w:hint="eastAsia" w:ascii="宋体" w:hAnsi="宋体" w:cs="宋体"/>
          <w:color w:val="auto"/>
          <w:kern w:val="0"/>
          <w:szCs w:val="21"/>
          <w:highlight w:val="none"/>
        </w:rPr>
        <w:t>。</w:t>
      </w:r>
    </w:p>
    <w:p w14:paraId="35C95569">
      <w:pPr>
        <w:spacing w:line="480" w:lineRule="exact"/>
        <w:ind w:firstLine="420" w:firstLineChars="200"/>
        <w:jc w:val="left"/>
        <w:rPr>
          <w:rFonts w:ascii="宋体" w:hAnsi="宋体" w:cs="宋体"/>
          <w:color w:val="auto"/>
          <w:kern w:val="0"/>
          <w:szCs w:val="21"/>
          <w:highlight w:val="none"/>
        </w:rPr>
      </w:pPr>
      <w:r>
        <w:rPr>
          <w:rFonts w:hint="eastAsia" w:ascii="宋体" w:hAnsi="宋体" w:cs="宋体"/>
          <w:color w:val="auto"/>
          <w:kern w:val="0"/>
          <w:szCs w:val="21"/>
          <w:highlight w:val="none"/>
        </w:rPr>
        <w:t>1.1.4  日期</w:t>
      </w:r>
    </w:p>
    <w:p w14:paraId="5DF5FC12">
      <w:pPr>
        <w:spacing w:line="480" w:lineRule="exact"/>
        <w:ind w:firstLine="420" w:firstLineChars="200"/>
        <w:jc w:val="left"/>
        <w:rPr>
          <w:rFonts w:ascii="宋体" w:hAnsi="宋体" w:cs="宋体"/>
          <w:color w:val="auto"/>
          <w:szCs w:val="21"/>
          <w:highlight w:val="none"/>
        </w:rPr>
      </w:pPr>
      <w:r>
        <w:rPr>
          <w:rFonts w:hint="eastAsia" w:ascii="宋体" w:hAnsi="宋体" w:cs="宋体"/>
          <w:color w:val="auto"/>
          <w:kern w:val="0"/>
          <w:szCs w:val="21"/>
          <w:highlight w:val="none"/>
        </w:rPr>
        <w:t>1.1.4.5 缺陷责任期：</w:t>
      </w:r>
      <w:r>
        <w:rPr>
          <w:rFonts w:hint="eastAsia" w:ascii="宋体" w:hAnsi="宋体" w:cs="宋体"/>
          <w:color w:val="auto"/>
          <w:szCs w:val="21"/>
          <w:highlight w:val="none"/>
          <w:u w:val="single"/>
        </w:rPr>
        <w:t>二 年（实际竣工日期起计算）。</w:t>
      </w:r>
    </w:p>
    <w:p w14:paraId="30C249C6">
      <w:pPr>
        <w:spacing w:line="480" w:lineRule="exact"/>
        <w:ind w:firstLine="420" w:firstLineChars="200"/>
        <w:rPr>
          <w:rFonts w:ascii="宋体" w:hAnsi="宋体" w:cs="宋体"/>
          <w:color w:val="auto"/>
          <w:szCs w:val="21"/>
          <w:highlight w:val="none"/>
        </w:rPr>
      </w:pPr>
      <w:r>
        <w:rPr>
          <w:rFonts w:hint="eastAsia" w:ascii="宋体" w:hAnsi="宋体" w:cs="宋体"/>
          <w:color w:val="auto"/>
          <w:szCs w:val="21"/>
          <w:highlight w:val="none"/>
        </w:rPr>
        <w:t xml:space="preserve">1.3法律 </w:t>
      </w:r>
    </w:p>
    <w:p w14:paraId="257151D1">
      <w:pPr>
        <w:autoSpaceDE w:val="0"/>
        <w:autoSpaceDN w:val="0"/>
        <w:adjustRightInd w:val="0"/>
        <w:spacing w:line="480" w:lineRule="exact"/>
        <w:jc w:val="left"/>
        <w:rPr>
          <w:rFonts w:ascii="宋体" w:hAnsi="宋体" w:cs="宋体"/>
          <w:color w:val="auto"/>
          <w:szCs w:val="21"/>
          <w:highlight w:val="none"/>
        </w:rPr>
      </w:pPr>
      <w:r>
        <w:rPr>
          <w:rFonts w:hint="eastAsia" w:ascii="宋体" w:hAnsi="宋体" w:cs="宋体"/>
          <w:color w:val="auto"/>
          <w:szCs w:val="21"/>
          <w:highlight w:val="none"/>
        </w:rPr>
        <w:t>适用于合同的其他规范性文件：</w:t>
      </w:r>
      <w:r>
        <w:rPr>
          <w:rFonts w:hint="eastAsia" w:ascii="宋体" w:hAnsi="宋体" w:cs="宋体"/>
          <w:color w:val="auto"/>
          <w:szCs w:val="21"/>
          <w:highlight w:val="none"/>
          <w:u w:val="single"/>
        </w:rPr>
        <w:t xml:space="preserve"> 国家现行法律、行政法规。 </w:t>
      </w:r>
    </w:p>
    <w:p w14:paraId="5B9EF257">
      <w:pPr>
        <w:autoSpaceDE w:val="0"/>
        <w:autoSpaceDN w:val="0"/>
        <w:adjustRightInd w:val="0"/>
        <w:spacing w:line="480" w:lineRule="exact"/>
        <w:ind w:firstLine="415" w:firstLineChars="198"/>
        <w:jc w:val="left"/>
        <w:rPr>
          <w:rFonts w:ascii="宋体" w:hAnsi="宋体" w:cs="宋体"/>
          <w:color w:val="auto"/>
          <w:szCs w:val="21"/>
          <w:highlight w:val="none"/>
        </w:rPr>
      </w:pPr>
      <w:r>
        <w:rPr>
          <w:rFonts w:hint="eastAsia" w:ascii="宋体" w:hAnsi="宋体" w:cs="宋体"/>
          <w:color w:val="auto"/>
          <w:szCs w:val="21"/>
          <w:highlight w:val="none"/>
        </w:rPr>
        <w:t xml:space="preserve">工程实施中执行重庆市现行的有关安全生产、文明施工、扬尘控制、质量检验、分户验收、荷载试验、竣工验收、商品砼推广、建筑节能、绿色建筑等规范性文件。 </w:t>
      </w:r>
    </w:p>
    <w:p w14:paraId="56589567">
      <w:pPr>
        <w:spacing w:line="480" w:lineRule="exact"/>
        <w:ind w:firstLine="420" w:firstLineChars="200"/>
        <w:rPr>
          <w:rFonts w:ascii="宋体" w:hAnsi="宋体" w:cs="宋体"/>
          <w:color w:val="auto"/>
          <w:szCs w:val="21"/>
          <w:highlight w:val="none"/>
        </w:rPr>
      </w:pPr>
      <w:r>
        <w:rPr>
          <w:rFonts w:hint="eastAsia" w:ascii="宋体" w:hAnsi="宋体" w:cs="宋体"/>
          <w:color w:val="auto"/>
          <w:szCs w:val="21"/>
          <w:highlight w:val="none"/>
        </w:rPr>
        <w:t>1.4 标准和规范</w:t>
      </w:r>
    </w:p>
    <w:p w14:paraId="55FEBA88">
      <w:pPr>
        <w:tabs>
          <w:tab w:val="left" w:pos="3193"/>
        </w:tabs>
        <w:spacing w:line="480" w:lineRule="exact"/>
        <w:ind w:firstLine="420" w:firstLineChars="200"/>
        <w:rPr>
          <w:rFonts w:ascii="宋体" w:hAnsi="宋体" w:cs="宋体"/>
          <w:color w:val="auto"/>
          <w:szCs w:val="21"/>
          <w:highlight w:val="none"/>
        </w:rPr>
      </w:pPr>
      <w:r>
        <w:rPr>
          <w:rFonts w:hint="eastAsia" w:ascii="宋体" w:hAnsi="宋体" w:cs="宋体"/>
          <w:color w:val="auto"/>
          <w:szCs w:val="21"/>
          <w:highlight w:val="none"/>
        </w:rPr>
        <w:t>1.4.1适用于工程的标准规范包括：</w:t>
      </w:r>
      <w:r>
        <w:rPr>
          <w:rFonts w:hint="eastAsia" w:ascii="宋体" w:hAnsi="宋体" w:cs="宋体"/>
          <w:color w:val="auto"/>
          <w:szCs w:val="21"/>
          <w:highlight w:val="none"/>
          <w:u w:val="single"/>
        </w:rPr>
        <w:t>现行的相关《施工规范》、《质量验评标准》和《施工验收规范》等</w:t>
      </w:r>
      <w:r>
        <w:rPr>
          <w:rFonts w:hint="eastAsia" w:ascii="宋体" w:hAnsi="宋体" w:cs="宋体"/>
          <w:color w:val="auto"/>
          <w:szCs w:val="21"/>
          <w:highlight w:val="none"/>
        </w:rPr>
        <w:t>。</w:t>
      </w:r>
    </w:p>
    <w:p w14:paraId="699EFD70">
      <w:pPr>
        <w:spacing w:line="480" w:lineRule="exact"/>
        <w:ind w:firstLine="420" w:firstLineChars="200"/>
        <w:rPr>
          <w:rFonts w:ascii="宋体" w:hAnsi="宋体" w:cs="宋体"/>
          <w:color w:val="auto"/>
          <w:kern w:val="0"/>
          <w:szCs w:val="21"/>
          <w:highlight w:val="none"/>
          <w:u w:val="single"/>
        </w:rPr>
      </w:pPr>
      <w:r>
        <w:rPr>
          <w:rFonts w:hint="eastAsia" w:ascii="宋体" w:hAnsi="宋体" w:cs="宋体"/>
          <w:color w:val="auto"/>
          <w:kern w:val="0"/>
          <w:szCs w:val="21"/>
          <w:highlight w:val="none"/>
        </w:rPr>
        <w:t>1.4.2 发包人提供国外标准、规范的名称：</w:t>
      </w:r>
      <w:r>
        <w:rPr>
          <w:rFonts w:hint="eastAsia" w:ascii="宋体" w:hAnsi="宋体" w:cs="宋体"/>
          <w:color w:val="auto"/>
          <w:kern w:val="0"/>
          <w:szCs w:val="21"/>
          <w:highlight w:val="none"/>
          <w:u w:val="single"/>
        </w:rPr>
        <w:t xml:space="preserve">      无       </w:t>
      </w:r>
      <w:r>
        <w:rPr>
          <w:rFonts w:hint="eastAsia" w:ascii="宋体" w:hAnsi="宋体" w:cs="宋体"/>
          <w:color w:val="auto"/>
          <w:kern w:val="0"/>
          <w:szCs w:val="21"/>
          <w:highlight w:val="none"/>
        </w:rPr>
        <w:t>；</w:t>
      </w:r>
    </w:p>
    <w:p w14:paraId="5CDB2A9B">
      <w:pPr>
        <w:spacing w:line="480" w:lineRule="exact"/>
        <w:ind w:firstLine="420" w:firstLineChars="200"/>
        <w:rPr>
          <w:rFonts w:ascii="宋体" w:hAnsi="宋体" w:cs="宋体"/>
          <w:color w:val="auto"/>
          <w:kern w:val="0"/>
          <w:szCs w:val="21"/>
          <w:highlight w:val="none"/>
        </w:rPr>
      </w:pPr>
      <w:r>
        <w:rPr>
          <w:rFonts w:hint="eastAsia" w:ascii="宋体" w:hAnsi="宋体" w:cs="宋体"/>
          <w:color w:val="auto"/>
          <w:kern w:val="0"/>
          <w:szCs w:val="21"/>
          <w:highlight w:val="none"/>
        </w:rPr>
        <w:t>发包人提供国外标准、规范的份数：</w:t>
      </w:r>
      <w:r>
        <w:rPr>
          <w:rFonts w:hint="eastAsia" w:ascii="宋体" w:hAnsi="宋体" w:cs="宋体"/>
          <w:color w:val="auto"/>
          <w:kern w:val="0"/>
          <w:szCs w:val="21"/>
          <w:highlight w:val="none"/>
          <w:u w:val="single"/>
        </w:rPr>
        <w:t xml:space="preserve">            无          </w:t>
      </w:r>
      <w:r>
        <w:rPr>
          <w:rFonts w:hint="eastAsia" w:ascii="宋体" w:hAnsi="宋体" w:cs="宋体"/>
          <w:color w:val="auto"/>
          <w:kern w:val="0"/>
          <w:szCs w:val="21"/>
          <w:highlight w:val="none"/>
        </w:rPr>
        <w:t>；</w:t>
      </w:r>
    </w:p>
    <w:p w14:paraId="0B8BF34A">
      <w:pPr>
        <w:spacing w:line="480" w:lineRule="exact"/>
        <w:ind w:firstLine="420" w:firstLineChars="200"/>
        <w:rPr>
          <w:rFonts w:ascii="宋体" w:hAnsi="宋体" w:cs="宋体"/>
          <w:color w:val="auto"/>
          <w:szCs w:val="21"/>
          <w:highlight w:val="none"/>
        </w:rPr>
      </w:pPr>
      <w:r>
        <w:rPr>
          <w:rFonts w:hint="eastAsia" w:ascii="宋体" w:hAnsi="宋体" w:cs="宋体"/>
          <w:color w:val="auto"/>
          <w:kern w:val="0"/>
          <w:szCs w:val="21"/>
          <w:highlight w:val="none"/>
        </w:rPr>
        <w:t>发包人提供国外标准、规范的名称：</w:t>
      </w:r>
      <w:r>
        <w:rPr>
          <w:rFonts w:hint="eastAsia" w:ascii="宋体" w:hAnsi="宋体" w:cs="宋体"/>
          <w:color w:val="auto"/>
          <w:kern w:val="0"/>
          <w:szCs w:val="21"/>
          <w:highlight w:val="none"/>
          <w:u w:val="single"/>
        </w:rPr>
        <w:t xml:space="preserve">          无            </w:t>
      </w:r>
      <w:r>
        <w:rPr>
          <w:rFonts w:hint="eastAsia" w:ascii="宋体" w:hAnsi="宋体" w:cs="宋体"/>
          <w:color w:val="auto"/>
          <w:kern w:val="0"/>
          <w:szCs w:val="21"/>
          <w:highlight w:val="none"/>
        </w:rPr>
        <w:t>。</w:t>
      </w:r>
    </w:p>
    <w:p w14:paraId="0243C3C9">
      <w:pPr>
        <w:spacing w:line="480" w:lineRule="exact"/>
        <w:rPr>
          <w:rFonts w:ascii="宋体" w:hAnsi="宋体" w:cs="宋体"/>
          <w:color w:val="auto"/>
          <w:szCs w:val="21"/>
          <w:highlight w:val="none"/>
        </w:rPr>
      </w:pPr>
      <w:r>
        <w:rPr>
          <w:rFonts w:hint="eastAsia" w:ascii="宋体" w:hAnsi="宋体" w:cs="宋体"/>
          <w:color w:val="auto"/>
          <w:szCs w:val="21"/>
          <w:highlight w:val="none"/>
        </w:rPr>
        <w:t>1.4.3发包人对工程的技术标准和功能要求的特殊要求：</w:t>
      </w:r>
      <w:r>
        <w:rPr>
          <w:rFonts w:hint="eastAsia" w:ascii="宋体" w:hAnsi="宋体" w:cs="宋体"/>
          <w:color w:val="auto"/>
          <w:szCs w:val="21"/>
          <w:highlight w:val="none"/>
          <w:u w:val="single"/>
        </w:rPr>
        <w:t xml:space="preserve"> 无</w:t>
      </w:r>
      <w:r>
        <w:rPr>
          <w:rFonts w:hint="eastAsia" w:ascii="宋体" w:hAnsi="宋体" w:cs="宋体"/>
          <w:color w:val="auto"/>
          <w:szCs w:val="21"/>
          <w:highlight w:val="none"/>
        </w:rPr>
        <w:t>。</w:t>
      </w:r>
    </w:p>
    <w:p w14:paraId="4B0B4732">
      <w:pPr>
        <w:spacing w:line="480" w:lineRule="exact"/>
        <w:ind w:firstLine="420" w:firstLineChars="200"/>
        <w:rPr>
          <w:rFonts w:ascii="宋体" w:hAnsi="宋体" w:cs="宋体"/>
          <w:color w:val="auto"/>
          <w:szCs w:val="21"/>
          <w:highlight w:val="none"/>
        </w:rPr>
      </w:pPr>
      <w:r>
        <w:rPr>
          <w:rFonts w:hint="eastAsia" w:ascii="宋体" w:hAnsi="宋体" w:cs="宋体"/>
          <w:color w:val="auto"/>
          <w:szCs w:val="21"/>
          <w:highlight w:val="none"/>
        </w:rPr>
        <w:t>1.5 合同文件的优先顺序</w:t>
      </w:r>
    </w:p>
    <w:p w14:paraId="7821E82B">
      <w:pPr>
        <w:autoSpaceDE w:val="0"/>
        <w:autoSpaceDN w:val="0"/>
        <w:adjustRightInd w:val="0"/>
        <w:spacing w:line="480" w:lineRule="exact"/>
        <w:jc w:val="left"/>
        <w:rPr>
          <w:rFonts w:ascii="宋体" w:hAnsi="宋体" w:cs="宋体"/>
          <w:color w:val="auto"/>
          <w:szCs w:val="21"/>
          <w:highlight w:val="none"/>
        </w:rPr>
      </w:pPr>
      <w:r>
        <w:rPr>
          <w:rFonts w:hint="eastAsia" w:ascii="宋体" w:hAnsi="宋体" w:cs="宋体"/>
          <w:color w:val="auto"/>
          <w:szCs w:val="21"/>
          <w:highlight w:val="none"/>
        </w:rPr>
        <w:t>合同文件组成及优先顺序为：</w:t>
      </w:r>
    </w:p>
    <w:p w14:paraId="27526E89">
      <w:pPr>
        <w:autoSpaceDE w:val="0"/>
        <w:autoSpaceDN w:val="0"/>
        <w:adjustRightInd w:val="0"/>
        <w:spacing w:line="480" w:lineRule="exact"/>
        <w:jc w:val="left"/>
        <w:rPr>
          <w:rFonts w:ascii="宋体" w:hAnsi="宋体" w:cs="宋体"/>
          <w:color w:val="auto"/>
          <w:szCs w:val="21"/>
          <w:highlight w:val="none"/>
        </w:rPr>
      </w:pPr>
      <w:r>
        <w:rPr>
          <w:rFonts w:hint="eastAsia" w:ascii="宋体" w:hAnsi="宋体" w:cs="宋体"/>
          <w:color w:val="auto"/>
          <w:szCs w:val="21"/>
          <w:highlight w:val="none"/>
        </w:rPr>
        <w:t>（1）中标通知书；</w:t>
      </w:r>
    </w:p>
    <w:p w14:paraId="3D65AA33">
      <w:pPr>
        <w:autoSpaceDE w:val="0"/>
        <w:autoSpaceDN w:val="0"/>
        <w:adjustRightInd w:val="0"/>
        <w:spacing w:line="480" w:lineRule="exact"/>
        <w:jc w:val="left"/>
        <w:rPr>
          <w:rFonts w:ascii="宋体" w:hAnsi="宋体" w:cs="宋体"/>
          <w:color w:val="auto"/>
          <w:szCs w:val="21"/>
          <w:highlight w:val="none"/>
        </w:rPr>
      </w:pPr>
      <w:r>
        <w:rPr>
          <w:rFonts w:hint="eastAsia" w:ascii="宋体" w:hAnsi="宋体" w:cs="宋体"/>
          <w:color w:val="auto"/>
          <w:szCs w:val="21"/>
          <w:highlight w:val="none"/>
        </w:rPr>
        <w:t xml:space="preserve">（2）竞选函及其附录； </w:t>
      </w:r>
    </w:p>
    <w:p w14:paraId="17A2CA2F">
      <w:pPr>
        <w:autoSpaceDE w:val="0"/>
        <w:autoSpaceDN w:val="0"/>
        <w:adjustRightInd w:val="0"/>
        <w:spacing w:line="480" w:lineRule="exact"/>
        <w:jc w:val="left"/>
        <w:rPr>
          <w:rFonts w:ascii="宋体" w:hAnsi="宋体" w:cs="宋体"/>
          <w:color w:val="auto"/>
          <w:szCs w:val="21"/>
          <w:highlight w:val="none"/>
        </w:rPr>
      </w:pPr>
      <w:r>
        <w:rPr>
          <w:rFonts w:hint="eastAsia" w:ascii="宋体" w:hAnsi="宋体" w:cs="宋体"/>
          <w:color w:val="auto"/>
          <w:szCs w:val="21"/>
          <w:highlight w:val="none"/>
        </w:rPr>
        <w:t>（3）专用合同条款及其附件；</w:t>
      </w:r>
    </w:p>
    <w:p w14:paraId="59F199BA">
      <w:pPr>
        <w:autoSpaceDE w:val="0"/>
        <w:autoSpaceDN w:val="0"/>
        <w:adjustRightInd w:val="0"/>
        <w:spacing w:line="480" w:lineRule="exact"/>
        <w:jc w:val="left"/>
        <w:rPr>
          <w:rFonts w:ascii="宋体" w:hAnsi="宋体" w:cs="宋体"/>
          <w:color w:val="auto"/>
          <w:szCs w:val="21"/>
          <w:highlight w:val="none"/>
        </w:rPr>
      </w:pPr>
      <w:r>
        <w:rPr>
          <w:rFonts w:hint="eastAsia" w:ascii="宋体" w:hAnsi="宋体" w:cs="宋体"/>
          <w:color w:val="auto"/>
          <w:szCs w:val="21"/>
          <w:highlight w:val="none"/>
        </w:rPr>
        <w:t>（4）通用合同条款；</w:t>
      </w:r>
    </w:p>
    <w:p w14:paraId="1B8A3B52">
      <w:pPr>
        <w:autoSpaceDE w:val="0"/>
        <w:autoSpaceDN w:val="0"/>
        <w:adjustRightInd w:val="0"/>
        <w:spacing w:line="480" w:lineRule="exact"/>
        <w:jc w:val="left"/>
        <w:rPr>
          <w:rFonts w:ascii="宋体" w:hAnsi="宋体" w:cs="宋体"/>
          <w:color w:val="auto"/>
          <w:szCs w:val="21"/>
          <w:highlight w:val="none"/>
        </w:rPr>
      </w:pPr>
      <w:r>
        <w:rPr>
          <w:rFonts w:hint="eastAsia" w:ascii="宋体" w:hAnsi="宋体" w:cs="宋体"/>
          <w:color w:val="auto"/>
          <w:szCs w:val="21"/>
          <w:highlight w:val="none"/>
        </w:rPr>
        <w:t>（5）技术标准和要求；</w:t>
      </w:r>
    </w:p>
    <w:p w14:paraId="0037E690">
      <w:pPr>
        <w:autoSpaceDE w:val="0"/>
        <w:autoSpaceDN w:val="0"/>
        <w:adjustRightInd w:val="0"/>
        <w:spacing w:line="480" w:lineRule="exact"/>
        <w:jc w:val="left"/>
        <w:rPr>
          <w:rFonts w:ascii="宋体" w:hAnsi="宋体" w:cs="宋体"/>
          <w:color w:val="auto"/>
          <w:szCs w:val="21"/>
          <w:highlight w:val="none"/>
        </w:rPr>
      </w:pPr>
      <w:r>
        <w:rPr>
          <w:rFonts w:hint="eastAsia" w:ascii="宋体" w:hAnsi="宋体" w:cs="宋体"/>
          <w:color w:val="auto"/>
          <w:szCs w:val="21"/>
          <w:highlight w:val="none"/>
        </w:rPr>
        <w:t>（6）图纸；</w:t>
      </w:r>
    </w:p>
    <w:p w14:paraId="7D06A2D6">
      <w:pPr>
        <w:autoSpaceDE w:val="0"/>
        <w:autoSpaceDN w:val="0"/>
        <w:adjustRightInd w:val="0"/>
        <w:spacing w:line="480" w:lineRule="exact"/>
        <w:jc w:val="left"/>
        <w:rPr>
          <w:rFonts w:ascii="宋体" w:hAnsi="宋体" w:cs="宋体"/>
          <w:color w:val="auto"/>
          <w:szCs w:val="21"/>
          <w:highlight w:val="none"/>
        </w:rPr>
      </w:pPr>
      <w:r>
        <w:rPr>
          <w:rFonts w:hint="eastAsia" w:ascii="宋体" w:hAnsi="宋体" w:cs="宋体"/>
          <w:color w:val="auto"/>
          <w:szCs w:val="21"/>
          <w:highlight w:val="none"/>
        </w:rPr>
        <w:t>（7）已标价工程量清单或预算书；</w:t>
      </w:r>
    </w:p>
    <w:p w14:paraId="1FB72D17">
      <w:pPr>
        <w:spacing w:line="480" w:lineRule="exact"/>
        <w:ind w:firstLine="420" w:firstLineChars="200"/>
        <w:rPr>
          <w:rFonts w:ascii="宋体" w:hAnsi="宋体" w:cs="宋体"/>
          <w:color w:val="auto"/>
          <w:szCs w:val="21"/>
          <w:highlight w:val="none"/>
        </w:rPr>
      </w:pPr>
      <w:r>
        <w:rPr>
          <w:rFonts w:hint="eastAsia" w:ascii="宋体" w:hAnsi="宋体" w:cs="宋体"/>
          <w:color w:val="auto"/>
          <w:szCs w:val="21"/>
          <w:highlight w:val="none"/>
        </w:rPr>
        <w:t>（8）其他合同文件。</w:t>
      </w:r>
    </w:p>
    <w:p w14:paraId="3E132836">
      <w:pPr>
        <w:spacing w:line="480" w:lineRule="exact"/>
        <w:ind w:firstLine="420" w:firstLineChars="200"/>
        <w:rPr>
          <w:rFonts w:ascii="宋体" w:hAnsi="宋体" w:cs="宋体"/>
          <w:color w:val="auto"/>
          <w:szCs w:val="21"/>
          <w:highlight w:val="none"/>
        </w:rPr>
      </w:pPr>
      <w:r>
        <w:rPr>
          <w:rFonts w:hint="eastAsia" w:ascii="宋体" w:hAnsi="宋体" w:cs="宋体"/>
          <w:color w:val="auto"/>
          <w:szCs w:val="21"/>
          <w:highlight w:val="none"/>
        </w:rPr>
        <w:t>1.6 图纸和承包人文件</w:t>
      </w:r>
      <w:r>
        <w:rPr>
          <w:rFonts w:hint="eastAsia" w:ascii="宋体" w:hAnsi="宋体" w:cs="宋体"/>
          <w:color w:val="auto"/>
          <w:szCs w:val="21"/>
          <w:highlight w:val="none"/>
        </w:rPr>
        <w:tab/>
      </w:r>
    </w:p>
    <w:p w14:paraId="5867D814">
      <w:pPr>
        <w:spacing w:line="480" w:lineRule="exact"/>
        <w:ind w:firstLine="420" w:firstLineChars="200"/>
        <w:rPr>
          <w:rFonts w:ascii="宋体" w:hAnsi="宋体" w:cs="宋体"/>
          <w:color w:val="auto"/>
          <w:szCs w:val="21"/>
          <w:highlight w:val="none"/>
        </w:rPr>
      </w:pPr>
      <w:r>
        <w:rPr>
          <w:rFonts w:hint="eastAsia" w:ascii="宋体" w:hAnsi="宋体" w:cs="宋体"/>
          <w:color w:val="auto"/>
          <w:szCs w:val="21"/>
          <w:highlight w:val="none"/>
        </w:rPr>
        <w:t>1.6.1 图纸的提供</w:t>
      </w:r>
    </w:p>
    <w:p w14:paraId="4045A05B">
      <w:pPr>
        <w:spacing w:line="480" w:lineRule="exact"/>
        <w:ind w:firstLine="420" w:firstLineChars="200"/>
        <w:rPr>
          <w:rFonts w:ascii="宋体" w:hAnsi="宋体" w:cs="宋体"/>
          <w:color w:val="auto"/>
          <w:szCs w:val="21"/>
          <w:highlight w:val="none"/>
        </w:rPr>
      </w:pPr>
      <w:r>
        <w:rPr>
          <w:rFonts w:hint="eastAsia" w:ascii="宋体" w:hAnsi="宋体" w:cs="宋体"/>
          <w:color w:val="auto"/>
          <w:szCs w:val="21"/>
          <w:highlight w:val="none"/>
        </w:rPr>
        <w:t>发包人向承包人提供图纸的期限：</w:t>
      </w:r>
      <w:r>
        <w:rPr>
          <w:rFonts w:hint="eastAsia" w:ascii="宋体" w:hAnsi="宋体" w:cs="宋体"/>
          <w:color w:val="auto"/>
          <w:szCs w:val="21"/>
          <w:highlight w:val="none"/>
          <w:u w:val="single"/>
        </w:rPr>
        <w:t>合同签定后3日内</w:t>
      </w:r>
      <w:r>
        <w:rPr>
          <w:rFonts w:hint="eastAsia" w:ascii="宋体" w:hAnsi="宋体" w:cs="宋体"/>
          <w:color w:val="auto"/>
          <w:szCs w:val="21"/>
          <w:highlight w:val="none"/>
        </w:rPr>
        <w:t>；</w:t>
      </w:r>
    </w:p>
    <w:p w14:paraId="5A50C5E1">
      <w:pPr>
        <w:spacing w:line="480" w:lineRule="exact"/>
        <w:ind w:firstLine="420" w:firstLineChars="200"/>
        <w:rPr>
          <w:rFonts w:ascii="宋体" w:hAnsi="宋体" w:cs="宋体"/>
          <w:color w:val="auto"/>
          <w:szCs w:val="21"/>
          <w:highlight w:val="none"/>
        </w:rPr>
      </w:pPr>
      <w:r>
        <w:rPr>
          <w:rFonts w:hint="eastAsia" w:ascii="宋体" w:hAnsi="宋体" w:cs="宋体"/>
          <w:color w:val="auto"/>
          <w:szCs w:val="21"/>
          <w:highlight w:val="none"/>
        </w:rPr>
        <w:t>发包人向承包人提供图纸的数量：</w:t>
      </w:r>
      <w:r>
        <w:rPr>
          <w:rFonts w:hint="eastAsia" w:ascii="宋体" w:hAnsi="宋体" w:cs="宋体"/>
          <w:color w:val="auto"/>
          <w:szCs w:val="21"/>
          <w:highlight w:val="none"/>
          <w:u w:val="single"/>
        </w:rPr>
        <w:t xml:space="preserve"> 提供完整的施工图纸贰套，电子文档一套</w:t>
      </w:r>
      <w:r>
        <w:rPr>
          <w:rFonts w:hint="eastAsia" w:ascii="宋体" w:hAnsi="宋体" w:cs="宋体"/>
          <w:color w:val="auto"/>
          <w:szCs w:val="21"/>
          <w:highlight w:val="none"/>
        </w:rPr>
        <w:t>；</w:t>
      </w:r>
    </w:p>
    <w:p w14:paraId="118B5CA6">
      <w:pPr>
        <w:spacing w:line="480" w:lineRule="exact"/>
        <w:ind w:firstLine="420" w:firstLineChars="200"/>
        <w:rPr>
          <w:rFonts w:ascii="宋体" w:hAnsi="宋体" w:cs="宋体"/>
          <w:color w:val="auto"/>
          <w:szCs w:val="21"/>
          <w:highlight w:val="none"/>
        </w:rPr>
      </w:pPr>
      <w:r>
        <w:rPr>
          <w:rFonts w:hint="eastAsia" w:ascii="宋体" w:hAnsi="宋体" w:cs="宋体"/>
          <w:color w:val="auto"/>
          <w:szCs w:val="21"/>
          <w:highlight w:val="none"/>
        </w:rPr>
        <w:t>发包人向承包人提供图纸的内容：</w:t>
      </w:r>
      <w:r>
        <w:rPr>
          <w:rFonts w:hint="eastAsia" w:ascii="宋体" w:hAnsi="宋体" w:cs="宋体"/>
          <w:color w:val="auto"/>
          <w:szCs w:val="21"/>
          <w:highlight w:val="none"/>
          <w:u w:val="single"/>
        </w:rPr>
        <w:t>详见施工图</w:t>
      </w:r>
      <w:r>
        <w:rPr>
          <w:rFonts w:hint="eastAsia" w:ascii="宋体" w:hAnsi="宋体" w:cs="宋体"/>
          <w:color w:val="auto"/>
          <w:szCs w:val="21"/>
          <w:highlight w:val="none"/>
        </w:rPr>
        <w:t>。</w:t>
      </w:r>
    </w:p>
    <w:p w14:paraId="63FD06B4">
      <w:pPr>
        <w:spacing w:line="480" w:lineRule="exact"/>
        <w:ind w:firstLine="420" w:firstLineChars="200"/>
        <w:rPr>
          <w:rFonts w:ascii="宋体" w:hAnsi="宋体" w:cs="宋体"/>
          <w:color w:val="auto"/>
          <w:szCs w:val="21"/>
          <w:highlight w:val="none"/>
        </w:rPr>
      </w:pPr>
      <w:r>
        <w:rPr>
          <w:rFonts w:hint="eastAsia" w:ascii="宋体" w:hAnsi="宋体" w:cs="宋体"/>
          <w:color w:val="auto"/>
          <w:szCs w:val="21"/>
          <w:highlight w:val="none"/>
        </w:rPr>
        <w:t>1.6.4 承包人文件</w:t>
      </w:r>
    </w:p>
    <w:p w14:paraId="20FE634E">
      <w:pPr>
        <w:spacing w:line="480" w:lineRule="exact"/>
        <w:jc w:val="left"/>
        <w:rPr>
          <w:rFonts w:ascii="宋体" w:hAnsi="宋体" w:cs="宋体"/>
          <w:color w:val="auto"/>
          <w:szCs w:val="21"/>
          <w:highlight w:val="none"/>
          <w:u w:val="single"/>
        </w:rPr>
      </w:pPr>
      <w:r>
        <w:rPr>
          <w:rFonts w:hint="eastAsia" w:ascii="宋体" w:hAnsi="宋体" w:cs="宋体"/>
          <w:color w:val="auto"/>
          <w:szCs w:val="21"/>
          <w:highlight w:val="none"/>
        </w:rPr>
        <w:t>需要由承包人提供的文件，包括：</w:t>
      </w:r>
      <w:r>
        <w:rPr>
          <w:rFonts w:hint="eastAsia" w:ascii="宋体" w:hAnsi="宋体" w:cs="宋体"/>
          <w:bCs/>
          <w:color w:val="auto"/>
          <w:kern w:val="44"/>
          <w:szCs w:val="21"/>
          <w:highlight w:val="none"/>
          <w:u w:val="single"/>
          <w:lang w:bidi="en-US"/>
        </w:rPr>
        <w:t>提供施工组织设计、总进度计划、月进度完成量统计表</w:t>
      </w:r>
      <w:r>
        <w:rPr>
          <w:rFonts w:hint="eastAsia" w:ascii="宋体" w:hAnsi="宋体" w:cs="宋体"/>
          <w:color w:val="auto"/>
          <w:szCs w:val="21"/>
          <w:highlight w:val="none"/>
          <w:u w:val="single"/>
        </w:rPr>
        <w:t xml:space="preserve"> </w:t>
      </w:r>
      <w:r>
        <w:rPr>
          <w:rFonts w:hint="eastAsia" w:ascii="宋体" w:hAnsi="宋体" w:cs="宋体"/>
          <w:color w:val="auto"/>
          <w:szCs w:val="21"/>
          <w:highlight w:val="none"/>
        </w:rPr>
        <w:t>；</w:t>
      </w:r>
    </w:p>
    <w:p w14:paraId="7B1961D4">
      <w:pPr>
        <w:spacing w:line="480" w:lineRule="exact"/>
        <w:rPr>
          <w:rFonts w:ascii="宋体" w:hAnsi="宋体" w:cs="宋体"/>
          <w:color w:val="auto"/>
          <w:szCs w:val="21"/>
          <w:highlight w:val="none"/>
        </w:rPr>
      </w:pPr>
      <w:r>
        <w:rPr>
          <w:rFonts w:hint="eastAsia" w:ascii="宋体" w:hAnsi="宋体" w:cs="宋体"/>
          <w:color w:val="auto"/>
          <w:szCs w:val="21"/>
          <w:highlight w:val="none"/>
        </w:rPr>
        <w:t>承包人提供的文件的期限为：</w:t>
      </w:r>
      <w:r>
        <w:rPr>
          <w:rFonts w:hint="eastAsia" w:ascii="宋体" w:hAnsi="宋体" w:cs="宋体"/>
          <w:color w:val="auto"/>
          <w:szCs w:val="21"/>
          <w:highlight w:val="none"/>
          <w:u w:val="single"/>
        </w:rPr>
        <w:t xml:space="preserve"> </w:t>
      </w:r>
      <w:r>
        <w:rPr>
          <w:rFonts w:hint="eastAsia" w:ascii="宋体" w:hAnsi="宋体" w:cs="宋体"/>
          <w:bCs/>
          <w:color w:val="auto"/>
          <w:kern w:val="44"/>
          <w:szCs w:val="21"/>
          <w:highlight w:val="none"/>
          <w:u w:val="single"/>
          <w:lang w:bidi="en-US"/>
        </w:rPr>
        <w:t>开工七日内提供施工组织设计、总进度计划，每月25日提供月进度完成量统计表</w:t>
      </w:r>
      <w:r>
        <w:rPr>
          <w:rFonts w:hint="eastAsia" w:ascii="宋体" w:hAnsi="宋体" w:cs="宋体"/>
          <w:color w:val="auto"/>
          <w:szCs w:val="21"/>
          <w:highlight w:val="none"/>
        </w:rPr>
        <w:t>；</w:t>
      </w:r>
    </w:p>
    <w:p w14:paraId="3CB17154">
      <w:pPr>
        <w:spacing w:line="480" w:lineRule="exact"/>
        <w:ind w:firstLine="420" w:firstLineChars="200"/>
        <w:rPr>
          <w:rFonts w:ascii="宋体" w:hAnsi="宋体" w:cs="宋体"/>
          <w:color w:val="auto"/>
          <w:szCs w:val="21"/>
          <w:highlight w:val="none"/>
        </w:rPr>
      </w:pPr>
      <w:r>
        <w:rPr>
          <w:rFonts w:hint="eastAsia" w:ascii="宋体" w:hAnsi="宋体" w:cs="宋体"/>
          <w:color w:val="auto"/>
          <w:szCs w:val="21"/>
          <w:highlight w:val="none"/>
        </w:rPr>
        <w:t>承包人提供的文件的数量为：</w:t>
      </w:r>
      <w:r>
        <w:rPr>
          <w:rFonts w:hint="eastAsia" w:ascii="宋体" w:hAnsi="宋体" w:cs="宋体"/>
          <w:color w:val="auto"/>
          <w:szCs w:val="21"/>
          <w:highlight w:val="none"/>
          <w:u w:val="single"/>
        </w:rPr>
        <w:t xml:space="preserve"> </w:t>
      </w:r>
      <w:r>
        <w:rPr>
          <w:rFonts w:hint="eastAsia" w:ascii="宋体" w:hAnsi="宋体" w:cs="宋体"/>
          <w:bCs/>
          <w:color w:val="auto"/>
          <w:kern w:val="44"/>
          <w:szCs w:val="21"/>
          <w:highlight w:val="none"/>
          <w:u w:val="single"/>
          <w:lang w:bidi="en-US"/>
        </w:rPr>
        <w:t>一式五份</w:t>
      </w:r>
      <w:r>
        <w:rPr>
          <w:rFonts w:hint="eastAsia" w:ascii="宋体" w:hAnsi="宋体" w:cs="宋体"/>
          <w:color w:val="auto"/>
          <w:szCs w:val="21"/>
          <w:highlight w:val="none"/>
          <w:u w:val="single"/>
        </w:rPr>
        <w:t xml:space="preserve"> </w:t>
      </w:r>
      <w:r>
        <w:rPr>
          <w:rFonts w:hint="eastAsia" w:ascii="宋体" w:hAnsi="宋体" w:cs="宋体"/>
          <w:color w:val="auto"/>
          <w:szCs w:val="21"/>
          <w:highlight w:val="none"/>
        </w:rPr>
        <w:t>；</w:t>
      </w:r>
    </w:p>
    <w:p w14:paraId="2A854BDD">
      <w:pPr>
        <w:spacing w:line="480" w:lineRule="exact"/>
        <w:ind w:firstLine="420" w:firstLineChars="200"/>
        <w:rPr>
          <w:rFonts w:ascii="宋体" w:hAnsi="宋体" w:cs="宋体"/>
          <w:color w:val="auto"/>
          <w:szCs w:val="21"/>
          <w:highlight w:val="none"/>
        </w:rPr>
      </w:pPr>
      <w:r>
        <w:rPr>
          <w:rFonts w:hint="eastAsia" w:ascii="宋体" w:hAnsi="宋体" w:cs="宋体"/>
          <w:color w:val="auto"/>
          <w:szCs w:val="21"/>
          <w:highlight w:val="none"/>
        </w:rPr>
        <w:t>承包人提供的文件的形式为：</w:t>
      </w:r>
      <w:r>
        <w:rPr>
          <w:rFonts w:hint="eastAsia" w:ascii="宋体" w:hAnsi="宋体" w:cs="宋体"/>
          <w:color w:val="auto"/>
          <w:szCs w:val="21"/>
          <w:highlight w:val="none"/>
          <w:u w:val="single"/>
        </w:rPr>
        <w:t xml:space="preserve"> 纸质材料 </w:t>
      </w:r>
      <w:r>
        <w:rPr>
          <w:rFonts w:hint="eastAsia" w:ascii="宋体" w:hAnsi="宋体" w:cs="宋体"/>
          <w:color w:val="auto"/>
          <w:szCs w:val="21"/>
          <w:highlight w:val="none"/>
        </w:rPr>
        <w:t>；</w:t>
      </w:r>
    </w:p>
    <w:p w14:paraId="564882B5">
      <w:pPr>
        <w:spacing w:line="480" w:lineRule="exact"/>
        <w:ind w:firstLine="420" w:firstLineChars="200"/>
        <w:rPr>
          <w:rFonts w:ascii="宋体" w:hAnsi="宋体" w:cs="宋体"/>
          <w:color w:val="auto"/>
          <w:szCs w:val="21"/>
          <w:highlight w:val="none"/>
        </w:rPr>
      </w:pPr>
      <w:r>
        <w:rPr>
          <w:rFonts w:hint="eastAsia" w:ascii="宋体" w:hAnsi="宋体" w:cs="宋体"/>
          <w:color w:val="auto"/>
          <w:szCs w:val="21"/>
          <w:highlight w:val="none"/>
        </w:rPr>
        <w:t>发包人审批承包人文件的期限：</w:t>
      </w:r>
      <w:r>
        <w:rPr>
          <w:rFonts w:hint="eastAsia" w:ascii="宋体" w:hAnsi="宋体" w:cs="宋体"/>
          <w:color w:val="auto"/>
          <w:szCs w:val="21"/>
          <w:highlight w:val="none"/>
          <w:u w:val="single"/>
        </w:rPr>
        <w:t xml:space="preserve"> 7日内 </w:t>
      </w:r>
      <w:r>
        <w:rPr>
          <w:rFonts w:hint="eastAsia" w:ascii="宋体" w:hAnsi="宋体" w:cs="宋体"/>
          <w:color w:val="auto"/>
          <w:szCs w:val="21"/>
          <w:highlight w:val="none"/>
        </w:rPr>
        <w:t>。</w:t>
      </w:r>
    </w:p>
    <w:p w14:paraId="2902925A">
      <w:pPr>
        <w:spacing w:line="480" w:lineRule="exact"/>
        <w:ind w:firstLine="420" w:firstLineChars="200"/>
        <w:rPr>
          <w:rFonts w:ascii="宋体" w:hAnsi="宋体" w:cs="宋体"/>
          <w:color w:val="auto"/>
          <w:szCs w:val="21"/>
          <w:highlight w:val="none"/>
        </w:rPr>
      </w:pPr>
      <w:r>
        <w:rPr>
          <w:rFonts w:hint="eastAsia" w:ascii="宋体" w:hAnsi="宋体" w:cs="宋体"/>
          <w:color w:val="auto"/>
          <w:szCs w:val="21"/>
          <w:highlight w:val="none"/>
        </w:rPr>
        <w:t>1.6.5 现场图纸准备</w:t>
      </w:r>
    </w:p>
    <w:p w14:paraId="55F4E2D0">
      <w:pPr>
        <w:spacing w:line="480" w:lineRule="exact"/>
        <w:rPr>
          <w:rFonts w:ascii="宋体" w:hAnsi="宋体" w:cs="宋体"/>
          <w:color w:val="auto"/>
          <w:szCs w:val="21"/>
          <w:highlight w:val="none"/>
        </w:rPr>
      </w:pPr>
      <w:r>
        <w:rPr>
          <w:rFonts w:hint="eastAsia" w:ascii="宋体" w:hAnsi="宋体" w:cs="宋体"/>
          <w:color w:val="auto"/>
          <w:szCs w:val="21"/>
          <w:highlight w:val="none"/>
        </w:rPr>
        <w:t>关于现场图纸准备的约定：</w:t>
      </w:r>
      <w:r>
        <w:rPr>
          <w:rFonts w:hint="eastAsia" w:ascii="宋体" w:hAnsi="宋体" w:cs="宋体"/>
          <w:bCs/>
          <w:color w:val="auto"/>
          <w:kern w:val="44"/>
          <w:szCs w:val="21"/>
          <w:highlight w:val="none"/>
          <w:u w:val="single"/>
          <w:lang w:bidi="en-US"/>
        </w:rPr>
        <w:t>开工三日内由发包人组织承包人、监理人和设计人进行图纸会审及设计交底</w:t>
      </w:r>
      <w:r>
        <w:rPr>
          <w:rFonts w:hint="eastAsia" w:ascii="宋体" w:hAnsi="宋体" w:cs="宋体"/>
          <w:color w:val="auto"/>
          <w:szCs w:val="21"/>
          <w:highlight w:val="none"/>
        </w:rPr>
        <w:t>。</w:t>
      </w:r>
    </w:p>
    <w:p w14:paraId="371DA5D5">
      <w:pPr>
        <w:spacing w:line="480" w:lineRule="exact"/>
        <w:ind w:firstLine="420" w:firstLineChars="200"/>
        <w:rPr>
          <w:rFonts w:ascii="宋体" w:hAnsi="宋体" w:cs="宋体"/>
          <w:color w:val="auto"/>
          <w:szCs w:val="21"/>
          <w:highlight w:val="none"/>
        </w:rPr>
      </w:pPr>
      <w:r>
        <w:rPr>
          <w:rFonts w:hint="eastAsia" w:ascii="宋体" w:hAnsi="宋体" w:cs="宋体"/>
          <w:color w:val="auto"/>
          <w:szCs w:val="21"/>
          <w:highlight w:val="none"/>
        </w:rPr>
        <w:t>1.7 联络</w:t>
      </w:r>
    </w:p>
    <w:p w14:paraId="038C002A">
      <w:pPr>
        <w:spacing w:line="480" w:lineRule="exact"/>
        <w:ind w:firstLine="420" w:firstLineChars="200"/>
        <w:rPr>
          <w:rFonts w:ascii="宋体" w:hAnsi="宋体" w:cs="宋体"/>
          <w:color w:val="auto"/>
          <w:kern w:val="0"/>
          <w:szCs w:val="21"/>
          <w:highlight w:val="none"/>
        </w:rPr>
      </w:pPr>
      <w:r>
        <w:rPr>
          <w:rFonts w:hint="eastAsia" w:ascii="宋体" w:hAnsi="宋体" w:cs="宋体"/>
          <w:color w:val="auto"/>
          <w:kern w:val="0"/>
          <w:szCs w:val="21"/>
          <w:highlight w:val="none"/>
        </w:rPr>
        <w:t>1.7.1发包人和承包人应当在</w:t>
      </w:r>
      <w:r>
        <w:rPr>
          <w:rFonts w:hint="eastAsia" w:ascii="宋体" w:hAnsi="宋体" w:cs="宋体"/>
          <w:color w:val="auto"/>
          <w:szCs w:val="21"/>
          <w:highlight w:val="none"/>
          <w:u w:val="single"/>
        </w:rPr>
        <w:t xml:space="preserve">2 </w:t>
      </w:r>
      <w:r>
        <w:rPr>
          <w:rFonts w:hint="eastAsia" w:ascii="宋体" w:hAnsi="宋体" w:cs="宋体"/>
          <w:color w:val="auto"/>
          <w:kern w:val="0"/>
          <w:szCs w:val="21"/>
          <w:highlight w:val="none"/>
        </w:rPr>
        <w:t>天内将与合同有关的通知、批准、证明、证书、指示、指令、要求、请求、同意、意见、确定和决定等书面函件送达对方当事人。</w:t>
      </w:r>
    </w:p>
    <w:p w14:paraId="19F4E80C">
      <w:pPr>
        <w:spacing w:line="480" w:lineRule="exact"/>
        <w:ind w:firstLine="420" w:firstLineChars="200"/>
        <w:rPr>
          <w:rFonts w:ascii="宋体" w:hAnsi="宋体" w:cs="宋体"/>
          <w:color w:val="auto"/>
          <w:kern w:val="0"/>
          <w:szCs w:val="21"/>
          <w:highlight w:val="none"/>
        </w:rPr>
      </w:pPr>
      <w:r>
        <w:rPr>
          <w:rFonts w:hint="eastAsia" w:ascii="宋体" w:hAnsi="宋体" w:cs="宋体"/>
          <w:color w:val="auto"/>
          <w:kern w:val="0"/>
          <w:szCs w:val="21"/>
          <w:highlight w:val="none"/>
        </w:rPr>
        <w:t>1.7.2 发包人接收文件的地点：</w:t>
      </w:r>
      <w:r>
        <w:rPr>
          <w:rFonts w:hint="eastAsia" w:ascii="宋体" w:hAnsi="宋体" w:cs="宋体"/>
          <w:color w:val="auto"/>
          <w:szCs w:val="21"/>
          <w:highlight w:val="none"/>
          <w:u w:val="single"/>
        </w:rPr>
        <w:t xml:space="preserve">                         </w:t>
      </w:r>
      <w:r>
        <w:rPr>
          <w:rFonts w:hint="eastAsia" w:ascii="宋体" w:hAnsi="宋体" w:cs="宋体"/>
          <w:color w:val="auto"/>
          <w:kern w:val="0"/>
          <w:szCs w:val="21"/>
          <w:highlight w:val="none"/>
        </w:rPr>
        <w:t>；</w:t>
      </w:r>
    </w:p>
    <w:p w14:paraId="6FAD3E29">
      <w:pPr>
        <w:spacing w:line="480" w:lineRule="exact"/>
        <w:ind w:firstLine="420" w:firstLineChars="200"/>
        <w:rPr>
          <w:rFonts w:ascii="宋体" w:hAnsi="宋体" w:cs="宋体"/>
          <w:color w:val="auto"/>
          <w:kern w:val="0"/>
          <w:szCs w:val="21"/>
          <w:highlight w:val="none"/>
        </w:rPr>
      </w:pPr>
      <w:r>
        <w:rPr>
          <w:rFonts w:hint="eastAsia" w:ascii="宋体" w:hAnsi="宋体" w:cs="宋体"/>
          <w:color w:val="auto"/>
          <w:kern w:val="0"/>
          <w:szCs w:val="21"/>
          <w:highlight w:val="none"/>
        </w:rPr>
        <w:t>发包人指定的接收人为：</w:t>
      </w:r>
      <w:r>
        <w:rPr>
          <w:rFonts w:hint="eastAsia" w:ascii="宋体" w:hAnsi="宋体" w:cs="宋体"/>
          <w:color w:val="auto"/>
          <w:szCs w:val="21"/>
          <w:highlight w:val="none"/>
          <w:u w:val="single"/>
        </w:rPr>
        <w:t xml:space="preserve">                               </w:t>
      </w:r>
      <w:r>
        <w:rPr>
          <w:rFonts w:hint="eastAsia" w:ascii="宋体" w:hAnsi="宋体" w:cs="宋体"/>
          <w:color w:val="auto"/>
          <w:kern w:val="0"/>
          <w:szCs w:val="21"/>
          <w:highlight w:val="none"/>
        </w:rPr>
        <w:t>。</w:t>
      </w:r>
    </w:p>
    <w:p w14:paraId="6E049057">
      <w:pPr>
        <w:spacing w:line="480" w:lineRule="exact"/>
        <w:ind w:firstLine="420" w:firstLineChars="200"/>
        <w:rPr>
          <w:rFonts w:ascii="宋体" w:hAnsi="宋体" w:cs="宋体"/>
          <w:color w:val="auto"/>
          <w:kern w:val="0"/>
          <w:szCs w:val="21"/>
          <w:highlight w:val="none"/>
        </w:rPr>
      </w:pPr>
      <w:r>
        <w:rPr>
          <w:rFonts w:hint="eastAsia" w:ascii="宋体" w:hAnsi="宋体" w:cs="宋体"/>
          <w:color w:val="auto"/>
          <w:kern w:val="0"/>
          <w:szCs w:val="21"/>
          <w:highlight w:val="none"/>
        </w:rPr>
        <w:t>承包人接收文件的地点：</w:t>
      </w:r>
      <w:r>
        <w:rPr>
          <w:rFonts w:hint="eastAsia" w:ascii="宋体" w:hAnsi="宋体" w:cs="宋体"/>
          <w:color w:val="auto"/>
          <w:szCs w:val="21"/>
          <w:highlight w:val="none"/>
          <w:u w:val="single"/>
        </w:rPr>
        <w:t xml:space="preserve">    </w:t>
      </w:r>
      <w:r>
        <w:rPr>
          <w:rFonts w:hint="eastAsia" w:ascii="宋体" w:hAnsi="宋体" w:cs="宋体"/>
          <w:color w:val="auto"/>
          <w:kern w:val="0"/>
          <w:szCs w:val="21"/>
          <w:highlight w:val="none"/>
        </w:rPr>
        <w:t>；</w:t>
      </w:r>
    </w:p>
    <w:p w14:paraId="0BCBF915">
      <w:pPr>
        <w:spacing w:line="480" w:lineRule="exact"/>
        <w:ind w:firstLine="420" w:firstLineChars="200"/>
        <w:rPr>
          <w:rFonts w:ascii="宋体" w:hAnsi="宋体" w:cs="宋体"/>
          <w:color w:val="auto"/>
          <w:kern w:val="0"/>
          <w:szCs w:val="21"/>
          <w:highlight w:val="none"/>
        </w:rPr>
      </w:pPr>
      <w:r>
        <w:rPr>
          <w:rFonts w:hint="eastAsia" w:ascii="宋体" w:hAnsi="宋体" w:cs="宋体"/>
          <w:color w:val="auto"/>
          <w:kern w:val="0"/>
          <w:szCs w:val="21"/>
          <w:highlight w:val="none"/>
        </w:rPr>
        <w:t>承包人指定的接收人为：</w:t>
      </w:r>
      <w:r>
        <w:rPr>
          <w:rFonts w:hint="eastAsia" w:ascii="宋体" w:hAnsi="宋体" w:cs="宋体"/>
          <w:color w:val="auto"/>
          <w:szCs w:val="21"/>
          <w:highlight w:val="none"/>
          <w:u w:val="single"/>
        </w:rPr>
        <w:t xml:space="preserve">                               </w:t>
      </w:r>
      <w:r>
        <w:rPr>
          <w:rFonts w:hint="eastAsia" w:ascii="宋体" w:hAnsi="宋体" w:cs="宋体"/>
          <w:color w:val="auto"/>
          <w:kern w:val="0"/>
          <w:szCs w:val="21"/>
          <w:highlight w:val="none"/>
        </w:rPr>
        <w:t>。</w:t>
      </w:r>
    </w:p>
    <w:p w14:paraId="42DD3EE4">
      <w:pPr>
        <w:spacing w:line="480" w:lineRule="exact"/>
        <w:ind w:firstLine="420" w:firstLineChars="200"/>
        <w:rPr>
          <w:rFonts w:ascii="宋体" w:hAnsi="宋体" w:cs="宋体"/>
          <w:color w:val="auto"/>
          <w:kern w:val="0"/>
          <w:szCs w:val="21"/>
          <w:highlight w:val="none"/>
        </w:rPr>
      </w:pPr>
      <w:r>
        <w:rPr>
          <w:rFonts w:hint="eastAsia" w:ascii="宋体" w:hAnsi="宋体" w:cs="宋体"/>
          <w:color w:val="auto"/>
          <w:kern w:val="0"/>
          <w:szCs w:val="21"/>
          <w:highlight w:val="none"/>
        </w:rPr>
        <w:t>监理人接收文件的地点：</w:t>
      </w:r>
      <w:r>
        <w:rPr>
          <w:rFonts w:hint="eastAsia" w:ascii="宋体" w:hAnsi="宋体" w:cs="宋体"/>
          <w:color w:val="auto"/>
          <w:szCs w:val="21"/>
          <w:highlight w:val="none"/>
          <w:u w:val="single"/>
        </w:rPr>
        <w:t xml:space="preserve">   </w:t>
      </w:r>
      <w:r>
        <w:rPr>
          <w:rFonts w:hint="eastAsia" w:ascii="宋体" w:hAnsi="宋体" w:cs="宋体"/>
          <w:color w:val="auto"/>
          <w:kern w:val="0"/>
          <w:szCs w:val="21"/>
          <w:highlight w:val="none"/>
        </w:rPr>
        <w:t>；</w:t>
      </w:r>
    </w:p>
    <w:p w14:paraId="7A776543">
      <w:pPr>
        <w:spacing w:line="480" w:lineRule="exact"/>
        <w:ind w:firstLine="420" w:firstLineChars="200"/>
        <w:rPr>
          <w:rFonts w:ascii="宋体" w:hAnsi="宋体" w:cs="宋体"/>
          <w:color w:val="auto"/>
          <w:kern w:val="0"/>
          <w:szCs w:val="21"/>
          <w:highlight w:val="none"/>
        </w:rPr>
      </w:pPr>
      <w:r>
        <w:rPr>
          <w:rFonts w:hint="eastAsia" w:ascii="宋体" w:hAnsi="宋体" w:cs="宋体"/>
          <w:color w:val="auto"/>
          <w:kern w:val="0"/>
          <w:szCs w:val="21"/>
          <w:highlight w:val="none"/>
        </w:rPr>
        <w:t>监理人指定的接收人为：</w:t>
      </w:r>
      <w:r>
        <w:rPr>
          <w:rFonts w:hint="eastAsia" w:ascii="宋体" w:hAnsi="宋体" w:cs="宋体"/>
          <w:color w:val="auto"/>
          <w:szCs w:val="21"/>
          <w:highlight w:val="none"/>
          <w:u w:val="single"/>
        </w:rPr>
        <w:t xml:space="preserve">                                </w:t>
      </w:r>
      <w:r>
        <w:rPr>
          <w:rFonts w:hint="eastAsia" w:ascii="宋体" w:hAnsi="宋体" w:cs="宋体"/>
          <w:color w:val="auto"/>
          <w:kern w:val="0"/>
          <w:szCs w:val="21"/>
          <w:highlight w:val="none"/>
        </w:rPr>
        <w:t>。</w:t>
      </w:r>
    </w:p>
    <w:p w14:paraId="372009C1">
      <w:pPr>
        <w:spacing w:line="480" w:lineRule="exact"/>
        <w:ind w:firstLine="420" w:firstLineChars="200"/>
        <w:rPr>
          <w:rFonts w:ascii="宋体" w:hAnsi="宋体" w:cs="宋体"/>
          <w:color w:val="auto"/>
          <w:szCs w:val="21"/>
          <w:highlight w:val="none"/>
        </w:rPr>
      </w:pPr>
      <w:r>
        <w:rPr>
          <w:rFonts w:hint="eastAsia" w:ascii="宋体" w:hAnsi="宋体" w:cs="宋体"/>
          <w:color w:val="auto"/>
          <w:szCs w:val="21"/>
          <w:highlight w:val="none"/>
        </w:rPr>
        <w:t>1.10 交通运输</w:t>
      </w:r>
    </w:p>
    <w:p w14:paraId="673B918E">
      <w:pPr>
        <w:spacing w:line="480" w:lineRule="exact"/>
        <w:ind w:firstLine="420" w:firstLineChars="200"/>
        <w:rPr>
          <w:rFonts w:ascii="宋体" w:hAnsi="宋体" w:cs="宋体"/>
          <w:color w:val="auto"/>
          <w:szCs w:val="21"/>
          <w:highlight w:val="none"/>
        </w:rPr>
      </w:pPr>
      <w:r>
        <w:rPr>
          <w:rFonts w:hint="eastAsia" w:ascii="宋体" w:hAnsi="宋体" w:cs="宋体"/>
          <w:color w:val="auto"/>
          <w:szCs w:val="21"/>
          <w:highlight w:val="none"/>
        </w:rPr>
        <w:t>1</w:t>
      </w:r>
      <w:bookmarkStart w:id="849" w:name="_Toc312677986"/>
      <w:bookmarkStart w:id="850" w:name="_Toc318581155"/>
      <w:bookmarkStart w:id="851" w:name="_Toc304295521"/>
      <w:bookmarkStart w:id="852" w:name="_Toc303539100"/>
      <w:bookmarkStart w:id="853" w:name="_Toc300934943"/>
      <w:r>
        <w:rPr>
          <w:rFonts w:hint="eastAsia" w:ascii="宋体" w:hAnsi="宋体" w:cs="宋体"/>
          <w:color w:val="auto"/>
          <w:szCs w:val="21"/>
          <w:highlight w:val="none"/>
        </w:rPr>
        <w:t>.10.1 出入现场的权利</w:t>
      </w:r>
    </w:p>
    <w:p w14:paraId="58AD134A">
      <w:pPr>
        <w:spacing w:line="480" w:lineRule="exact"/>
        <w:rPr>
          <w:rFonts w:ascii="宋体" w:hAnsi="宋体" w:cs="宋体"/>
          <w:color w:val="auto"/>
          <w:szCs w:val="21"/>
          <w:highlight w:val="none"/>
          <w:u w:val="single"/>
        </w:rPr>
      </w:pPr>
      <w:r>
        <w:rPr>
          <w:rFonts w:hint="eastAsia" w:ascii="宋体" w:hAnsi="宋体" w:cs="宋体"/>
          <w:color w:val="auto"/>
          <w:szCs w:val="21"/>
          <w:highlight w:val="none"/>
        </w:rPr>
        <w:t>关于出入现场的权利的约定：</w:t>
      </w:r>
      <w:r>
        <w:rPr>
          <w:rFonts w:hint="eastAsia" w:ascii="宋体" w:hAnsi="宋体" w:cs="宋体"/>
          <w:color w:val="auto"/>
          <w:szCs w:val="21"/>
          <w:highlight w:val="none"/>
          <w:u w:val="single"/>
        </w:rPr>
        <w:t xml:space="preserve"> 按通用条款1.10.1执行 </w:t>
      </w:r>
      <w:r>
        <w:rPr>
          <w:rFonts w:hint="eastAsia" w:ascii="宋体" w:hAnsi="宋体" w:cs="宋体"/>
          <w:color w:val="auto"/>
          <w:szCs w:val="21"/>
          <w:highlight w:val="none"/>
        </w:rPr>
        <w:t>。</w:t>
      </w:r>
    </w:p>
    <w:bookmarkEnd w:id="849"/>
    <w:bookmarkEnd w:id="850"/>
    <w:bookmarkEnd w:id="851"/>
    <w:bookmarkEnd w:id="852"/>
    <w:bookmarkEnd w:id="853"/>
    <w:p w14:paraId="5268D628">
      <w:pPr>
        <w:spacing w:line="480" w:lineRule="exact"/>
        <w:ind w:firstLine="420" w:firstLineChars="200"/>
        <w:jc w:val="left"/>
        <w:rPr>
          <w:rFonts w:ascii="宋体" w:hAnsi="宋体" w:cs="宋体"/>
          <w:color w:val="auto"/>
          <w:szCs w:val="21"/>
          <w:highlight w:val="none"/>
        </w:rPr>
      </w:pPr>
      <w:r>
        <w:rPr>
          <w:rFonts w:hint="eastAsia" w:ascii="宋体" w:hAnsi="宋体" w:cs="宋体"/>
          <w:color w:val="auto"/>
          <w:szCs w:val="21"/>
          <w:highlight w:val="none"/>
        </w:rPr>
        <w:t>1</w:t>
      </w:r>
      <w:bookmarkStart w:id="854" w:name="_Toc312677987"/>
      <w:bookmarkStart w:id="855" w:name="_Toc304295522"/>
      <w:bookmarkStart w:id="856" w:name="_Toc303539101"/>
      <w:bookmarkStart w:id="857" w:name="_Toc318581156"/>
      <w:bookmarkStart w:id="858" w:name="_Toc300934944"/>
      <w:r>
        <w:rPr>
          <w:rFonts w:hint="eastAsia" w:ascii="宋体" w:hAnsi="宋体" w:cs="宋体"/>
          <w:color w:val="auto"/>
          <w:szCs w:val="21"/>
          <w:highlight w:val="none"/>
        </w:rPr>
        <w:t>.10.3 场内交通</w:t>
      </w:r>
    </w:p>
    <w:p w14:paraId="49EB70D3">
      <w:pPr>
        <w:spacing w:line="480" w:lineRule="exact"/>
        <w:ind w:firstLine="420" w:firstLineChars="200"/>
        <w:jc w:val="left"/>
        <w:rPr>
          <w:rFonts w:ascii="宋体" w:hAnsi="宋体" w:cs="宋体"/>
          <w:color w:val="auto"/>
          <w:kern w:val="0"/>
          <w:szCs w:val="21"/>
          <w:highlight w:val="none"/>
        </w:rPr>
      </w:pPr>
      <w:r>
        <w:rPr>
          <w:rFonts w:hint="eastAsia" w:ascii="宋体" w:hAnsi="宋体" w:cs="宋体"/>
          <w:color w:val="auto"/>
          <w:kern w:val="0"/>
          <w:szCs w:val="21"/>
          <w:highlight w:val="none"/>
        </w:rPr>
        <w:t>关于场外交通和场内交通的边界的约定：</w:t>
      </w:r>
      <w:r>
        <w:rPr>
          <w:rFonts w:hint="eastAsia" w:ascii="宋体" w:hAnsi="宋体" w:cs="宋体"/>
          <w:color w:val="auto"/>
          <w:szCs w:val="21"/>
          <w:highlight w:val="none"/>
          <w:u w:val="single"/>
        </w:rPr>
        <w:t xml:space="preserve"> 按通用条款1.10.3执行 </w:t>
      </w:r>
      <w:r>
        <w:rPr>
          <w:rFonts w:hint="eastAsia" w:ascii="宋体" w:hAnsi="宋体" w:cs="宋体"/>
          <w:color w:val="auto"/>
          <w:szCs w:val="21"/>
          <w:highlight w:val="none"/>
        </w:rPr>
        <w:t>。</w:t>
      </w:r>
    </w:p>
    <w:p w14:paraId="705571C3">
      <w:pPr>
        <w:spacing w:line="480" w:lineRule="exact"/>
        <w:ind w:firstLine="420" w:firstLineChars="200"/>
        <w:jc w:val="left"/>
        <w:rPr>
          <w:rFonts w:ascii="宋体" w:hAnsi="宋体" w:cs="宋体"/>
          <w:color w:val="auto"/>
          <w:szCs w:val="21"/>
          <w:highlight w:val="none"/>
        </w:rPr>
      </w:pPr>
      <w:r>
        <w:rPr>
          <w:rFonts w:hint="eastAsia" w:ascii="宋体" w:hAnsi="宋体" w:cs="宋体"/>
          <w:color w:val="auto"/>
          <w:szCs w:val="21"/>
          <w:highlight w:val="none"/>
        </w:rPr>
        <w:t>关于发包人向承包人免费提供满足工程施工需要的场内道路和交通设施的约定：</w:t>
      </w:r>
      <w:r>
        <w:rPr>
          <w:rFonts w:hint="eastAsia" w:ascii="宋体" w:hAnsi="宋体" w:cs="宋体"/>
          <w:color w:val="auto"/>
          <w:szCs w:val="21"/>
          <w:highlight w:val="none"/>
          <w:u w:val="single"/>
        </w:rPr>
        <w:t xml:space="preserve"> 按通用条款1.10.3执行 </w:t>
      </w:r>
      <w:r>
        <w:rPr>
          <w:rFonts w:hint="eastAsia" w:ascii="宋体" w:hAnsi="宋体" w:cs="宋体"/>
          <w:color w:val="auto"/>
          <w:szCs w:val="21"/>
          <w:highlight w:val="none"/>
        </w:rPr>
        <w:t>。</w:t>
      </w:r>
      <w:bookmarkEnd w:id="854"/>
      <w:bookmarkEnd w:id="855"/>
      <w:bookmarkEnd w:id="856"/>
      <w:bookmarkEnd w:id="857"/>
      <w:bookmarkEnd w:id="858"/>
      <w:r>
        <w:rPr>
          <w:rFonts w:hint="eastAsia" w:ascii="宋体" w:hAnsi="宋体" w:cs="宋体"/>
          <w:color w:val="auto"/>
          <w:szCs w:val="21"/>
          <w:highlight w:val="none"/>
        </w:rPr>
        <w:t xml:space="preserve">  </w:t>
      </w:r>
      <w:bookmarkStart w:id="859" w:name="_Toc318581157"/>
    </w:p>
    <w:p w14:paraId="12AE84CE">
      <w:pPr>
        <w:spacing w:line="480" w:lineRule="exact"/>
        <w:ind w:firstLine="420" w:firstLineChars="200"/>
        <w:jc w:val="left"/>
        <w:rPr>
          <w:rFonts w:ascii="宋体" w:hAnsi="宋体" w:cs="宋体"/>
          <w:color w:val="auto"/>
          <w:szCs w:val="21"/>
          <w:highlight w:val="none"/>
        </w:rPr>
      </w:pPr>
      <w:r>
        <w:rPr>
          <w:rFonts w:hint="eastAsia" w:ascii="宋体" w:hAnsi="宋体" w:cs="宋体"/>
          <w:color w:val="auto"/>
          <w:szCs w:val="21"/>
          <w:highlight w:val="none"/>
        </w:rPr>
        <w:t>1.10.4超大件和超重件的运输</w:t>
      </w:r>
    </w:p>
    <w:p w14:paraId="3DA42C63">
      <w:pPr>
        <w:spacing w:line="480" w:lineRule="exact"/>
        <w:ind w:firstLine="420" w:firstLineChars="200"/>
        <w:jc w:val="left"/>
        <w:rPr>
          <w:rFonts w:ascii="宋体" w:hAnsi="宋体" w:cs="宋体"/>
          <w:color w:val="auto"/>
          <w:szCs w:val="21"/>
          <w:highlight w:val="none"/>
        </w:rPr>
      </w:pPr>
      <w:r>
        <w:rPr>
          <w:rFonts w:hint="eastAsia" w:ascii="宋体" w:hAnsi="宋体" w:cs="宋体"/>
          <w:color w:val="auto"/>
          <w:szCs w:val="21"/>
          <w:highlight w:val="none"/>
        </w:rPr>
        <w:t>运输超大件或超重件所需的道路和桥梁临时加固改造费用和其他有关费用由</w:t>
      </w:r>
      <w:r>
        <w:rPr>
          <w:rFonts w:hint="eastAsia" w:ascii="宋体" w:hAnsi="宋体" w:cs="宋体"/>
          <w:color w:val="auto"/>
          <w:szCs w:val="21"/>
          <w:highlight w:val="none"/>
          <w:u w:val="single"/>
        </w:rPr>
        <w:t xml:space="preserve"> 承包人  </w:t>
      </w:r>
      <w:r>
        <w:rPr>
          <w:rFonts w:hint="eastAsia" w:ascii="宋体" w:hAnsi="宋体" w:cs="宋体"/>
          <w:color w:val="auto"/>
          <w:szCs w:val="21"/>
          <w:highlight w:val="none"/>
        </w:rPr>
        <w:t>承担。</w:t>
      </w:r>
    </w:p>
    <w:bookmarkEnd w:id="859"/>
    <w:p w14:paraId="4AF2ECD9">
      <w:pPr>
        <w:spacing w:line="480" w:lineRule="exact"/>
        <w:ind w:firstLine="420" w:firstLineChars="200"/>
        <w:rPr>
          <w:rFonts w:ascii="宋体" w:hAnsi="宋体" w:cs="宋体"/>
          <w:color w:val="auto"/>
          <w:szCs w:val="21"/>
          <w:highlight w:val="none"/>
        </w:rPr>
      </w:pPr>
      <w:r>
        <w:rPr>
          <w:rFonts w:hint="eastAsia" w:ascii="宋体" w:hAnsi="宋体" w:cs="宋体"/>
          <w:color w:val="auto"/>
          <w:szCs w:val="21"/>
          <w:highlight w:val="none"/>
        </w:rPr>
        <w:t>1.11 知识产权</w:t>
      </w:r>
    </w:p>
    <w:p w14:paraId="38326D8D">
      <w:pPr>
        <w:spacing w:line="480" w:lineRule="exact"/>
        <w:ind w:firstLine="420" w:firstLineChars="200"/>
        <w:rPr>
          <w:rFonts w:ascii="宋体" w:hAnsi="宋体" w:cs="宋体"/>
          <w:color w:val="auto"/>
          <w:szCs w:val="21"/>
          <w:highlight w:val="none"/>
          <w:u w:val="single"/>
        </w:rPr>
      </w:pPr>
      <w:r>
        <w:rPr>
          <w:rFonts w:hint="eastAsia" w:ascii="宋体" w:hAnsi="宋体" w:cs="宋体"/>
          <w:color w:val="auto"/>
          <w:szCs w:val="21"/>
          <w:highlight w:val="none"/>
        </w:rPr>
        <w:t>1.11.1关于发包人提供给承包人的图纸、发包人为实施工程自行编制或委托编制的技术规范以及反映发包人关于合同要求或其他类似性质的文件的著作权的归属：</w:t>
      </w:r>
      <w:r>
        <w:rPr>
          <w:rFonts w:hint="eastAsia" w:ascii="宋体" w:hAnsi="宋体" w:cs="宋体"/>
          <w:color w:val="auto"/>
          <w:szCs w:val="21"/>
          <w:highlight w:val="none"/>
          <w:u w:val="single"/>
        </w:rPr>
        <w:t xml:space="preserve"> 按通用条款1.11.1执行 </w:t>
      </w:r>
      <w:r>
        <w:rPr>
          <w:rFonts w:hint="eastAsia" w:ascii="宋体" w:hAnsi="宋体" w:cs="宋体"/>
          <w:color w:val="auto"/>
          <w:szCs w:val="21"/>
          <w:highlight w:val="none"/>
        </w:rPr>
        <w:t>。</w:t>
      </w:r>
    </w:p>
    <w:p w14:paraId="52573148">
      <w:pPr>
        <w:spacing w:line="480" w:lineRule="exact"/>
        <w:rPr>
          <w:rFonts w:ascii="宋体" w:hAnsi="宋体" w:cs="宋体"/>
          <w:color w:val="auto"/>
          <w:szCs w:val="21"/>
          <w:highlight w:val="none"/>
        </w:rPr>
      </w:pPr>
      <w:r>
        <w:rPr>
          <w:rFonts w:hint="eastAsia" w:ascii="宋体" w:hAnsi="宋体" w:cs="宋体"/>
          <w:color w:val="auto"/>
          <w:szCs w:val="21"/>
          <w:highlight w:val="none"/>
        </w:rPr>
        <w:t>关于发包人提供的上述文件的使用限制的要求：</w:t>
      </w:r>
      <w:r>
        <w:rPr>
          <w:rFonts w:hint="eastAsia" w:ascii="宋体" w:hAnsi="宋体" w:cs="宋体"/>
          <w:color w:val="auto"/>
          <w:szCs w:val="21"/>
          <w:highlight w:val="none"/>
          <w:u w:val="single"/>
        </w:rPr>
        <w:t xml:space="preserve">按通用条款1.11.1执行  </w:t>
      </w:r>
      <w:r>
        <w:rPr>
          <w:rFonts w:hint="eastAsia" w:ascii="宋体" w:hAnsi="宋体" w:cs="宋体"/>
          <w:color w:val="auto"/>
          <w:szCs w:val="21"/>
          <w:highlight w:val="none"/>
        </w:rPr>
        <w:t>。</w:t>
      </w:r>
    </w:p>
    <w:p w14:paraId="1A985BE4">
      <w:pPr>
        <w:spacing w:line="480" w:lineRule="exact"/>
        <w:rPr>
          <w:rFonts w:ascii="宋体" w:hAnsi="宋体" w:cs="宋体"/>
          <w:color w:val="auto"/>
          <w:szCs w:val="21"/>
          <w:highlight w:val="none"/>
        </w:rPr>
      </w:pPr>
      <w:r>
        <w:rPr>
          <w:rFonts w:hint="eastAsia" w:ascii="宋体" w:hAnsi="宋体" w:cs="宋体"/>
          <w:color w:val="auto"/>
          <w:szCs w:val="21"/>
          <w:highlight w:val="none"/>
        </w:rPr>
        <w:t>1.11.2 关于承包人为实施工程所编制文件的著作权的归属：</w:t>
      </w:r>
      <w:r>
        <w:rPr>
          <w:rFonts w:hint="eastAsia" w:ascii="宋体" w:hAnsi="宋体" w:cs="宋体"/>
          <w:color w:val="auto"/>
          <w:szCs w:val="21"/>
          <w:highlight w:val="none"/>
          <w:u w:val="single"/>
        </w:rPr>
        <w:t xml:space="preserve">按通用条款1.11.2执行  </w:t>
      </w:r>
      <w:r>
        <w:rPr>
          <w:rFonts w:hint="eastAsia" w:ascii="宋体" w:hAnsi="宋体" w:cs="宋体"/>
          <w:color w:val="auto"/>
          <w:szCs w:val="21"/>
          <w:highlight w:val="none"/>
        </w:rPr>
        <w:t>。</w:t>
      </w:r>
    </w:p>
    <w:p w14:paraId="0788AD1F">
      <w:pPr>
        <w:spacing w:line="480" w:lineRule="exact"/>
        <w:ind w:firstLine="420" w:firstLineChars="200"/>
        <w:rPr>
          <w:rFonts w:ascii="宋体" w:hAnsi="宋体" w:cs="宋体"/>
          <w:color w:val="auto"/>
          <w:szCs w:val="21"/>
          <w:highlight w:val="none"/>
          <w:u w:val="single"/>
        </w:rPr>
      </w:pPr>
      <w:r>
        <w:rPr>
          <w:rFonts w:hint="eastAsia" w:ascii="宋体" w:hAnsi="宋体" w:cs="宋体"/>
          <w:color w:val="auto"/>
          <w:szCs w:val="21"/>
          <w:highlight w:val="none"/>
        </w:rPr>
        <w:t>关于承包人提供的上述文件的使用限制的要求：</w:t>
      </w:r>
      <w:r>
        <w:rPr>
          <w:rFonts w:hint="eastAsia" w:ascii="宋体" w:hAnsi="宋体" w:cs="宋体"/>
          <w:color w:val="auto"/>
          <w:szCs w:val="21"/>
          <w:highlight w:val="none"/>
          <w:u w:val="single"/>
        </w:rPr>
        <w:t xml:space="preserve">按通用条款1.11.2执行  </w:t>
      </w:r>
      <w:r>
        <w:rPr>
          <w:rFonts w:hint="eastAsia" w:ascii="宋体" w:hAnsi="宋体" w:cs="宋体"/>
          <w:color w:val="auto"/>
          <w:szCs w:val="21"/>
          <w:highlight w:val="none"/>
        </w:rPr>
        <w:t>。</w:t>
      </w:r>
    </w:p>
    <w:p w14:paraId="561B64FF">
      <w:pPr>
        <w:spacing w:line="480" w:lineRule="exact"/>
        <w:ind w:firstLine="420" w:firstLineChars="200"/>
        <w:rPr>
          <w:rFonts w:ascii="宋体" w:hAnsi="宋体" w:cs="宋体"/>
          <w:color w:val="auto"/>
          <w:kern w:val="0"/>
          <w:szCs w:val="21"/>
          <w:highlight w:val="none"/>
        </w:rPr>
      </w:pPr>
      <w:r>
        <w:rPr>
          <w:rFonts w:hint="eastAsia" w:ascii="宋体" w:hAnsi="宋体" w:cs="宋体"/>
          <w:color w:val="auto"/>
          <w:szCs w:val="21"/>
          <w:highlight w:val="none"/>
        </w:rPr>
        <w:t>1.11.4 承包人在施工过程中所采用的专利、专有技术、技术秘密的使用费的承担方式：</w:t>
      </w:r>
      <w:r>
        <w:rPr>
          <w:rFonts w:hint="eastAsia" w:ascii="宋体" w:hAnsi="宋体" w:cs="宋体"/>
          <w:color w:val="auto"/>
          <w:szCs w:val="21"/>
          <w:highlight w:val="none"/>
          <w:u w:val="single"/>
        </w:rPr>
        <w:t>由承包人负责</w:t>
      </w:r>
      <w:r>
        <w:rPr>
          <w:rFonts w:hint="eastAsia" w:ascii="宋体" w:hAnsi="宋体" w:cs="宋体"/>
          <w:color w:val="auto"/>
          <w:kern w:val="0"/>
          <w:szCs w:val="21"/>
          <w:highlight w:val="none"/>
        </w:rPr>
        <w:t>。</w:t>
      </w:r>
    </w:p>
    <w:p w14:paraId="161EB8D8">
      <w:pPr>
        <w:pStyle w:val="6"/>
        <w:spacing w:line="480" w:lineRule="exact"/>
        <w:ind w:firstLine="105" w:firstLineChars="50"/>
        <w:jc w:val="left"/>
        <w:rPr>
          <w:rFonts w:ascii="宋体" w:hAnsi="宋体" w:cs="宋体"/>
          <w:b/>
          <w:color w:val="auto"/>
          <w:szCs w:val="21"/>
          <w:highlight w:val="none"/>
        </w:rPr>
      </w:pPr>
      <w:bookmarkStart w:id="860" w:name="_Toc351203634"/>
    </w:p>
    <w:p w14:paraId="2AD99693">
      <w:pPr>
        <w:pStyle w:val="6"/>
        <w:spacing w:line="480" w:lineRule="exact"/>
        <w:ind w:firstLine="105" w:firstLineChars="50"/>
        <w:jc w:val="left"/>
        <w:rPr>
          <w:rFonts w:ascii="宋体" w:hAnsi="宋体" w:cs="宋体"/>
          <w:b/>
          <w:color w:val="auto"/>
          <w:szCs w:val="21"/>
          <w:highlight w:val="none"/>
        </w:rPr>
      </w:pPr>
      <w:r>
        <w:rPr>
          <w:rFonts w:hint="eastAsia" w:ascii="宋体" w:hAnsi="宋体" w:cs="宋体"/>
          <w:b/>
          <w:color w:val="auto"/>
          <w:szCs w:val="21"/>
          <w:highlight w:val="none"/>
        </w:rPr>
        <w:t>2</w:t>
      </w:r>
      <w:bookmarkStart w:id="861" w:name="_Toc296503157"/>
      <w:bookmarkStart w:id="862" w:name="_Toc296944496"/>
      <w:bookmarkStart w:id="863" w:name="_Toc296346658"/>
      <w:bookmarkStart w:id="864" w:name="_Toc296890985"/>
      <w:bookmarkStart w:id="865" w:name="_Toc292559362"/>
      <w:bookmarkStart w:id="866" w:name="_Toc297120457"/>
      <w:bookmarkStart w:id="867" w:name="_Toc297048343"/>
      <w:bookmarkStart w:id="868" w:name="_Toc296891197"/>
      <w:bookmarkStart w:id="869" w:name="_Toc292559867"/>
      <w:bookmarkStart w:id="870" w:name="_Toc296347156"/>
      <w:r>
        <w:rPr>
          <w:rFonts w:hint="eastAsia" w:ascii="宋体" w:hAnsi="宋体" w:cs="宋体"/>
          <w:b/>
          <w:color w:val="auto"/>
          <w:szCs w:val="21"/>
          <w:highlight w:val="none"/>
        </w:rPr>
        <w:t>. 发包人</w:t>
      </w:r>
      <w:bookmarkEnd w:id="860"/>
    </w:p>
    <w:bookmarkEnd w:id="861"/>
    <w:bookmarkEnd w:id="862"/>
    <w:bookmarkEnd w:id="863"/>
    <w:bookmarkEnd w:id="864"/>
    <w:bookmarkEnd w:id="865"/>
    <w:bookmarkEnd w:id="866"/>
    <w:bookmarkEnd w:id="867"/>
    <w:bookmarkEnd w:id="868"/>
    <w:bookmarkEnd w:id="869"/>
    <w:bookmarkEnd w:id="870"/>
    <w:p w14:paraId="743E6E77">
      <w:pPr>
        <w:spacing w:line="480" w:lineRule="exact"/>
        <w:ind w:firstLine="420" w:firstLineChars="200"/>
        <w:rPr>
          <w:rFonts w:ascii="宋体" w:hAnsi="宋体" w:cs="宋体"/>
          <w:color w:val="auto"/>
          <w:szCs w:val="21"/>
          <w:highlight w:val="none"/>
        </w:rPr>
      </w:pPr>
      <w:r>
        <w:rPr>
          <w:rFonts w:hint="eastAsia" w:ascii="宋体" w:hAnsi="宋体" w:cs="宋体"/>
          <w:color w:val="auto"/>
          <w:szCs w:val="21"/>
          <w:highlight w:val="none"/>
        </w:rPr>
        <w:t>2.2 发包人代表</w:t>
      </w:r>
    </w:p>
    <w:p w14:paraId="3EE4625C">
      <w:pPr>
        <w:spacing w:line="480" w:lineRule="exact"/>
        <w:ind w:firstLine="420" w:firstLineChars="200"/>
        <w:rPr>
          <w:rFonts w:ascii="宋体" w:hAnsi="宋体" w:cs="宋体"/>
          <w:color w:val="auto"/>
          <w:szCs w:val="21"/>
          <w:highlight w:val="none"/>
        </w:rPr>
      </w:pPr>
      <w:r>
        <w:rPr>
          <w:rFonts w:hint="eastAsia" w:ascii="宋体" w:hAnsi="宋体" w:cs="宋体"/>
          <w:color w:val="auto"/>
          <w:szCs w:val="21"/>
          <w:highlight w:val="none"/>
        </w:rPr>
        <w:t>发包人代表：</w:t>
      </w:r>
    </w:p>
    <w:p w14:paraId="228B2177">
      <w:pPr>
        <w:spacing w:line="480" w:lineRule="exact"/>
        <w:ind w:firstLine="420" w:firstLineChars="200"/>
        <w:rPr>
          <w:rFonts w:ascii="宋体" w:hAnsi="宋体" w:cs="宋体"/>
          <w:color w:val="auto"/>
          <w:szCs w:val="21"/>
          <w:highlight w:val="none"/>
        </w:rPr>
      </w:pPr>
      <w:r>
        <w:rPr>
          <w:rFonts w:hint="eastAsia" w:ascii="宋体" w:hAnsi="宋体" w:cs="宋体"/>
          <w:color w:val="auto"/>
          <w:szCs w:val="21"/>
          <w:highlight w:val="none"/>
        </w:rPr>
        <w:t>姓    名：</w:t>
      </w:r>
      <w:r>
        <w:rPr>
          <w:rFonts w:hint="eastAsia" w:ascii="宋体" w:hAnsi="宋体" w:cs="宋体"/>
          <w:color w:val="auto"/>
          <w:szCs w:val="21"/>
          <w:highlight w:val="none"/>
          <w:u w:val="single"/>
        </w:rPr>
        <w:t xml:space="preserve">                                </w:t>
      </w:r>
      <w:r>
        <w:rPr>
          <w:rFonts w:hint="eastAsia" w:ascii="宋体" w:hAnsi="宋体" w:cs="宋体"/>
          <w:color w:val="auto"/>
          <w:szCs w:val="21"/>
          <w:highlight w:val="none"/>
        </w:rPr>
        <w:t>；</w:t>
      </w:r>
    </w:p>
    <w:p w14:paraId="0B92E5EA">
      <w:pPr>
        <w:spacing w:line="480" w:lineRule="exact"/>
        <w:ind w:firstLine="420" w:firstLineChars="200"/>
        <w:rPr>
          <w:rFonts w:ascii="宋体" w:hAnsi="宋体" w:cs="宋体"/>
          <w:color w:val="auto"/>
          <w:szCs w:val="21"/>
          <w:highlight w:val="none"/>
        </w:rPr>
      </w:pPr>
      <w:r>
        <w:rPr>
          <w:rFonts w:hint="eastAsia" w:ascii="宋体" w:hAnsi="宋体" w:cs="宋体"/>
          <w:color w:val="auto"/>
          <w:szCs w:val="21"/>
          <w:highlight w:val="none"/>
        </w:rPr>
        <w:t>身份证号：</w:t>
      </w:r>
      <w:r>
        <w:rPr>
          <w:rFonts w:hint="eastAsia" w:ascii="宋体" w:hAnsi="宋体" w:cs="宋体"/>
          <w:color w:val="auto"/>
          <w:szCs w:val="21"/>
          <w:highlight w:val="none"/>
          <w:u w:val="single"/>
        </w:rPr>
        <w:t xml:space="preserve">                                </w:t>
      </w:r>
      <w:r>
        <w:rPr>
          <w:rFonts w:hint="eastAsia" w:ascii="宋体" w:hAnsi="宋体" w:cs="宋体"/>
          <w:color w:val="auto"/>
          <w:szCs w:val="21"/>
          <w:highlight w:val="none"/>
        </w:rPr>
        <w:t>；</w:t>
      </w:r>
    </w:p>
    <w:p w14:paraId="74082813">
      <w:pPr>
        <w:spacing w:line="480" w:lineRule="exact"/>
        <w:ind w:firstLine="420" w:firstLineChars="200"/>
        <w:rPr>
          <w:rFonts w:ascii="宋体" w:hAnsi="宋体" w:cs="宋体"/>
          <w:color w:val="auto"/>
          <w:szCs w:val="21"/>
          <w:highlight w:val="none"/>
        </w:rPr>
      </w:pPr>
      <w:r>
        <w:rPr>
          <w:rFonts w:hint="eastAsia" w:ascii="宋体" w:hAnsi="宋体" w:cs="宋体"/>
          <w:color w:val="auto"/>
          <w:szCs w:val="21"/>
          <w:highlight w:val="none"/>
        </w:rPr>
        <w:t>职    务：</w:t>
      </w:r>
      <w:r>
        <w:rPr>
          <w:rFonts w:hint="eastAsia" w:ascii="宋体" w:hAnsi="宋体" w:cs="宋体"/>
          <w:color w:val="auto"/>
          <w:szCs w:val="21"/>
          <w:highlight w:val="none"/>
          <w:u w:val="single"/>
        </w:rPr>
        <w:t xml:space="preserve">                                </w:t>
      </w:r>
      <w:r>
        <w:rPr>
          <w:rFonts w:hint="eastAsia" w:ascii="宋体" w:hAnsi="宋体" w:cs="宋体"/>
          <w:color w:val="auto"/>
          <w:szCs w:val="21"/>
          <w:highlight w:val="none"/>
        </w:rPr>
        <w:t>；</w:t>
      </w:r>
    </w:p>
    <w:p w14:paraId="52F67B3E">
      <w:pPr>
        <w:spacing w:line="480" w:lineRule="exact"/>
        <w:ind w:firstLine="420" w:firstLineChars="200"/>
        <w:rPr>
          <w:rFonts w:ascii="宋体" w:hAnsi="宋体" w:cs="宋体"/>
          <w:color w:val="auto"/>
          <w:szCs w:val="21"/>
          <w:highlight w:val="none"/>
        </w:rPr>
      </w:pPr>
      <w:r>
        <w:rPr>
          <w:rFonts w:hint="eastAsia" w:ascii="宋体" w:hAnsi="宋体" w:cs="宋体"/>
          <w:color w:val="auto"/>
          <w:szCs w:val="21"/>
          <w:highlight w:val="none"/>
        </w:rPr>
        <w:t>联系电话：</w:t>
      </w:r>
      <w:r>
        <w:rPr>
          <w:rFonts w:hint="eastAsia" w:ascii="宋体" w:hAnsi="宋体" w:cs="宋体"/>
          <w:color w:val="auto"/>
          <w:szCs w:val="21"/>
          <w:highlight w:val="none"/>
          <w:u w:val="single"/>
        </w:rPr>
        <w:t xml:space="preserve">                                </w:t>
      </w:r>
      <w:r>
        <w:rPr>
          <w:rFonts w:hint="eastAsia" w:ascii="宋体" w:hAnsi="宋体" w:cs="宋体"/>
          <w:color w:val="auto"/>
          <w:szCs w:val="21"/>
          <w:highlight w:val="none"/>
        </w:rPr>
        <w:t>；</w:t>
      </w:r>
    </w:p>
    <w:p w14:paraId="61332809">
      <w:pPr>
        <w:spacing w:line="480" w:lineRule="exact"/>
        <w:ind w:firstLine="420" w:firstLineChars="200"/>
        <w:rPr>
          <w:rFonts w:ascii="宋体" w:hAnsi="宋体" w:cs="宋体"/>
          <w:color w:val="auto"/>
          <w:szCs w:val="21"/>
          <w:highlight w:val="none"/>
        </w:rPr>
      </w:pPr>
      <w:r>
        <w:rPr>
          <w:rFonts w:hint="eastAsia" w:ascii="宋体" w:hAnsi="宋体" w:cs="宋体"/>
          <w:color w:val="auto"/>
          <w:szCs w:val="21"/>
          <w:highlight w:val="none"/>
        </w:rPr>
        <w:t>电子信箱：</w:t>
      </w:r>
      <w:r>
        <w:rPr>
          <w:rFonts w:hint="eastAsia" w:ascii="宋体" w:hAnsi="宋体" w:cs="宋体"/>
          <w:color w:val="auto"/>
          <w:szCs w:val="21"/>
          <w:highlight w:val="none"/>
          <w:u w:val="single"/>
        </w:rPr>
        <w:t xml:space="preserve">                                </w:t>
      </w:r>
      <w:r>
        <w:rPr>
          <w:rFonts w:hint="eastAsia" w:ascii="宋体" w:hAnsi="宋体" w:cs="宋体"/>
          <w:color w:val="auto"/>
          <w:szCs w:val="21"/>
          <w:highlight w:val="none"/>
        </w:rPr>
        <w:t>；</w:t>
      </w:r>
    </w:p>
    <w:p w14:paraId="573B3E18">
      <w:pPr>
        <w:spacing w:line="480" w:lineRule="exact"/>
        <w:ind w:firstLine="420" w:firstLineChars="200"/>
        <w:rPr>
          <w:rFonts w:ascii="宋体" w:hAnsi="宋体" w:cs="宋体"/>
          <w:color w:val="auto"/>
          <w:szCs w:val="21"/>
          <w:highlight w:val="none"/>
        </w:rPr>
      </w:pPr>
      <w:r>
        <w:rPr>
          <w:rFonts w:hint="eastAsia" w:ascii="宋体" w:hAnsi="宋体" w:cs="宋体"/>
          <w:color w:val="auto"/>
          <w:szCs w:val="21"/>
          <w:highlight w:val="none"/>
        </w:rPr>
        <w:t>通信地址：</w:t>
      </w:r>
      <w:r>
        <w:rPr>
          <w:rFonts w:hint="eastAsia" w:ascii="宋体" w:hAnsi="宋体" w:cs="宋体"/>
          <w:color w:val="auto"/>
          <w:szCs w:val="21"/>
          <w:highlight w:val="none"/>
          <w:u w:val="single"/>
        </w:rPr>
        <w:t xml:space="preserve">                                </w:t>
      </w:r>
      <w:r>
        <w:rPr>
          <w:rFonts w:hint="eastAsia" w:ascii="宋体" w:hAnsi="宋体" w:cs="宋体"/>
          <w:color w:val="auto"/>
          <w:szCs w:val="21"/>
          <w:highlight w:val="none"/>
        </w:rPr>
        <w:t>。</w:t>
      </w:r>
    </w:p>
    <w:p w14:paraId="18B4336A">
      <w:pPr>
        <w:spacing w:line="480" w:lineRule="exact"/>
        <w:ind w:firstLine="420" w:firstLineChars="200"/>
        <w:rPr>
          <w:rFonts w:ascii="宋体" w:hAnsi="宋体" w:cs="宋体"/>
          <w:color w:val="auto"/>
          <w:szCs w:val="21"/>
          <w:highlight w:val="none"/>
          <w:u w:val="single"/>
        </w:rPr>
      </w:pPr>
      <w:r>
        <w:rPr>
          <w:rFonts w:hint="eastAsia" w:ascii="宋体" w:hAnsi="宋体" w:cs="宋体"/>
          <w:color w:val="auto"/>
          <w:szCs w:val="21"/>
          <w:highlight w:val="none"/>
        </w:rPr>
        <w:t>发包人对发包人代表的授权范围如下：</w:t>
      </w:r>
      <w:r>
        <w:rPr>
          <w:rFonts w:hint="eastAsia" w:ascii="宋体" w:hAnsi="宋体" w:cs="宋体"/>
          <w:color w:val="auto"/>
          <w:szCs w:val="21"/>
          <w:highlight w:val="none"/>
          <w:u w:val="single"/>
        </w:rPr>
        <w:t>负责本工程的技术工作，全面监督工程质量、工期、审核工程变更，签字认可增减工程量，负责施工现场的协调工作</w:t>
      </w:r>
      <w:r>
        <w:rPr>
          <w:rFonts w:hint="eastAsia" w:ascii="宋体" w:hAnsi="宋体" w:cs="宋体"/>
          <w:color w:val="auto"/>
          <w:szCs w:val="21"/>
          <w:highlight w:val="none"/>
        </w:rPr>
        <w:t>。</w:t>
      </w:r>
    </w:p>
    <w:p w14:paraId="73FC180A">
      <w:pPr>
        <w:spacing w:line="480" w:lineRule="exact"/>
        <w:ind w:firstLine="420" w:firstLineChars="200"/>
        <w:rPr>
          <w:rFonts w:ascii="宋体" w:hAnsi="宋体" w:cs="宋体"/>
          <w:color w:val="auto"/>
          <w:szCs w:val="21"/>
          <w:highlight w:val="none"/>
        </w:rPr>
      </w:pPr>
      <w:r>
        <w:rPr>
          <w:rFonts w:hint="eastAsia" w:ascii="宋体" w:hAnsi="宋体" w:cs="宋体"/>
          <w:color w:val="auto"/>
          <w:szCs w:val="21"/>
          <w:highlight w:val="none"/>
        </w:rPr>
        <w:t>2.4 施工现场、施工条件和基础资料的提供</w:t>
      </w:r>
    </w:p>
    <w:p w14:paraId="35F17B03">
      <w:pPr>
        <w:spacing w:line="480" w:lineRule="exact"/>
        <w:ind w:firstLine="420" w:firstLineChars="200"/>
        <w:rPr>
          <w:rFonts w:ascii="宋体" w:hAnsi="宋体" w:cs="宋体"/>
          <w:color w:val="auto"/>
          <w:szCs w:val="21"/>
          <w:highlight w:val="none"/>
        </w:rPr>
      </w:pPr>
      <w:r>
        <w:rPr>
          <w:rFonts w:hint="eastAsia" w:ascii="宋体" w:hAnsi="宋体" w:cs="宋体"/>
          <w:color w:val="auto"/>
          <w:szCs w:val="21"/>
          <w:highlight w:val="none"/>
        </w:rPr>
        <w:t>2.4.1 提供施工现场</w:t>
      </w:r>
    </w:p>
    <w:p w14:paraId="439DBD7B">
      <w:pPr>
        <w:spacing w:line="480" w:lineRule="exact"/>
        <w:ind w:firstLine="420" w:firstLineChars="200"/>
        <w:jc w:val="left"/>
        <w:rPr>
          <w:rFonts w:ascii="宋体" w:hAnsi="宋体" w:cs="宋体"/>
          <w:color w:val="auto"/>
          <w:szCs w:val="21"/>
          <w:highlight w:val="none"/>
        </w:rPr>
      </w:pPr>
      <w:r>
        <w:rPr>
          <w:rFonts w:hint="eastAsia" w:ascii="宋体" w:hAnsi="宋体" w:cs="宋体"/>
          <w:color w:val="auto"/>
          <w:szCs w:val="21"/>
          <w:highlight w:val="none"/>
        </w:rPr>
        <w:t>关于发包人移交施工现场的期限要求：</w:t>
      </w:r>
      <w:bookmarkStart w:id="871" w:name="OLE_LINK24"/>
      <w:bookmarkStart w:id="872" w:name="OLE_LINK25"/>
      <w:r>
        <w:rPr>
          <w:rFonts w:hint="eastAsia" w:ascii="宋体" w:hAnsi="宋体" w:cs="宋体"/>
          <w:color w:val="auto"/>
          <w:szCs w:val="21"/>
          <w:highlight w:val="none"/>
          <w:u w:val="single"/>
        </w:rPr>
        <w:t>施工场地由发包人开工7天前提供，</w:t>
      </w:r>
      <w:bookmarkEnd w:id="871"/>
      <w:bookmarkEnd w:id="872"/>
      <w:bookmarkStart w:id="873" w:name="OLE_LINK23"/>
      <w:r>
        <w:rPr>
          <w:rFonts w:hint="eastAsia" w:ascii="宋体" w:hAnsi="宋体" w:cs="宋体"/>
          <w:color w:val="auto"/>
          <w:szCs w:val="21"/>
          <w:highlight w:val="none"/>
          <w:u w:val="single"/>
        </w:rPr>
        <w:t>料场及临时设施场地由承包人自行解决，费用纳入报价</w:t>
      </w:r>
      <w:r>
        <w:rPr>
          <w:rFonts w:hint="eastAsia" w:ascii="宋体" w:hAnsi="宋体" w:cs="宋体"/>
          <w:color w:val="auto"/>
          <w:szCs w:val="21"/>
          <w:highlight w:val="none"/>
        </w:rPr>
        <w:t>。</w:t>
      </w:r>
      <w:bookmarkEnd w:id="873"/>
    </w:p>
    <w:p w14:paraId="451D7F8F">
      <w:pPr>
        <w:spacing w:line="480" w:lineRule="exact"/>
        <w:ind w:firstLine="420" w:firstLineChars="200"/>
        <w:rPr>
          <w:rFonts w:ascii="宋体" w:hAnsi="宋体" w:cs="宋体"/>
          <w:color w:val="auto"/>
          <w:szCs w:val="21"/>
          <w:highlight w:val="none"/>
        </w:rPr>
      </w:pPr>
      <w:r>
        <w:rPr>
          <w:rFonts w:hint="eastAsia" w:ascii="宋体" w:hAnsi="宋体" w:cs="宋体"/>
          <w:color w:val="auto"/>
          <w:szCs w:val="21"/>
          <w:highlight w:val="none"/>
        </w:rPr>
        <w:t>2.4.2 提供施工条件</w:t>
      </w:r>
    </w:p>
    <w:p w14:paraId="393626EB">
      <w:pPr>
        <w:spacing w:line="480" w:lineRule="exact"/>
        <w:ind w:left="210" w:leftChars="100" w:firstLine="210" w:firstLineChars="100"/>
        <w:rPr>
          <w:rFonts w:ascii="宋体" w:hAnsi="宋体" w:cs="宋体"/>
          <w:color w:val="auto"/>
          <w:szCs w:val="21"/>
          <w:highlight w:val="none"/>
          <w:u w:val="single"/>
        </w:rPr>
      </w:pPr>
      <w:r>
        <w:rPr>
          <w:rFonts w:hint="eastAsia" w:ascii="宋体" w:hAnsi="宋体" w:cs="宋体"/>
          <w:color w:val="auto"/>
          <w:szCs w:val="21"/>
          <w:highlight w:val="none"/>
        </w:rPr>
        <w:t>关于发包人应负责提供施工所需要的条件，包括：</w:t>
      </w:r>
      <w:r>
        <w:rPr>
          <w:rFonts w:hint="eastAsia" w:ascii="宋体" w:hAnsi="宋体" w:cs="宋体"/>
          <w:color w:val="auto"/>
          <w:szCs w:val="21"/>
          <w:highlight w:val="none"/>
          <w:u w:val="single"/>
        </w:rPr>
        <w:t>1、负责将施工用水、用电接至施工现场内；2、提供正常施工所需要的进入施工现场的交通条件； 3对邻近建筑物、构筑物需要采取特殊保护措施的，发包人与承包人共同协商处理</w:t>
      </w:r>
      <w:r>
        <w:rPr>
          <w:rFonts w:hint="eastAsia" w:ascii="宋体" w:hAnsi="宋体" w:cs="宋体"/>
          <w:color w:val="auto"/>
          <w:szCs w:val="21"/>
          <w:highlight w:val="none"/>
        </w:rPr>
        <w:t>。</w:t>
      </w:r>
    </w:p>
    <w:p w14:paraId="36FD3542">
      <w:pPr>
        <w:spacing w:line="480" w:lineRule="exact"/>
        <w:ind w:firstLine="420" w:firstLineChars="200"/>
        <w:rPr>
          <w:rFonts w:ascii="宋体" w:hAnsi="宋体" w:cs="宋体"/>
          <w:color w:val="auto"/>
          <w:szCs w:val="21"/>
          <w:highlight w:val="none"/>
        </w:rPr>
      </w:pPr>
      <w:r>
        <w:rPr>
          <w:rFonts w:hint="eastAsia" w:ascii="宋体" w:hAnsi="宋体" w:cs="宋体"/>
          <w:color w:val="auto"/>
          <w:szCs w:val="21"/>
          <w:highlight w:val="none"/>
        </w:rPr>
        <w:t>2.5 资金来源证明及支付担保</w:t>
      </w:r>
    </w:p>
    <w:p w14:paraId="74C448F9">
      <w:pPr>
        <w:spacing w:line="480" w:lineRule="exact"/>
        <w:ind w:firstLine="420" w:firstLineChars="200"/>
        <w:rPr>
          <w:rFonts w:ascii="宋体" w:hAnsi="宋体" w:cs="宋体"/>
          <w:color w:val="auto"/>
          <w:szCs w:val="21"/>
          <w:highlight w:val="none"/>
        </w:rPr>
      </w:pPr>
      <w:r>
        <w:rPr>
          <w:rFonts w:hint="eastAsia" w:ascii="宋体" w:hAnsi="宋体" w:cs="宋体"/>
          <w:color w:val="auto"/>
          <w:szCs w:val="21"/>
          <w:highlight w:val="none"/>
        </w:rPr>
        <w:t>发包人提供资金来源证明的期限要求：</w:t>
      </w:r>
      <w:r>
        <w:rPr>
          <w:rFonts w:hint="eastAsia" w:ascii="宋体" w:hAnsi="宋体" w:cs="宋体"/>
          <w:color w:val="auto"/>
          <w:szCs w:val="21"/>
          <w:highlight w:val="none"/>
          <w:u w:val="single"/>
        </w:rPr>
        <w:t xml:space="preserve">   ／    </w:t>
      </w:r>
      <w:r>
        <w:rPr>
          <w:rFonts w:hint="eastAsia" w:ascii="宋体" w:hAnsi="宋体" w:cs="宋体"/>
          <w:color w:val="auto"/>
          <w:szCs w:val="21"/>
          <w:highlight w:val="none"/>
        </w:rPr>
        <w:t>。</w:t>
      </w:r>
    </w:p>
    <w:p w14:paraId="14FBB72A">
      <w:pPr>
        <w:spacing w:line="480" w:lineRule="exact"/>
        <w:ind w:firstLine="420" w:firstLineChars="200"/>
        <w:rPr>
          <w:rFonts w:ascii="宋体" w:hAnsi="宋体" w:cs="宋体"/>
          <w:color w:val="auto"/>
          <w:szCs w:val="21"/>
          <w:highlight w:val="none"/>
        </w:rPr>
      </w:pPr>
      <w:r>
        <w:rPr>
          <w:rFonts w:hint="eastAsia" w:ascii="宋体" w:hAnsi="宋体" w:cs="宋体"/>
          <w:color w:val="auto"/>
          <w:szCs w:val="21"/>
          <w:highlight w:val="none"/>
        </w:rPr>
        <w:t>发包人是否提供支付担保：</w:t>
      </w:r>
      <w:r>
        <w:rPr>
          <w:rFonts w:hint="eastAsia" w:ascii="宋体" w:hAnsi="宋体" w:cs="宋体"/>
          <w:color w:val="auto"/>
          <w:szCs w:val="21"/>
          <w:highlight w:val="none"/>
          <w:u w:val="single"/>
        </w:rPr>
        <w:t xml:space="preserve">    ／     </w:t>
      </w:r>
      <w:r>
        <w:rPr>
          <w:rFonts w:hint="eastAsia" w:ascii="宋体" w:hAnsi="宋体" w:cs="宋体"/>
          <w:color w:val="auto"/>
          <w:szCs w:val="21"/>
          <w:highlight w:val="none"/>
        </w:rPr>
        <w:t>。</w:t>
      </w:r>
    </w:p>
    <w:p w14:paraId="27EBC603">
      <w:pPr>
        <w:spacing w:line="480" w:lineRule="exact"/>
        <w:ind w:firstLine="420" w:firstLineChars="200"/>
        <w:rPr>
          <w:rFonts w:ascii="宋体" w:hAnsi="宋体" w:cs="宋体"/>
          <w:color w:val="auto"/>
          <w:szCs w:val="21"/>
          <w:highlight w:val="none"/>
          <w:u w:val="single"/>
        </w:rPr>
      </w:pPr>
      <w:r>
        <w:rPr>
          <w:rFonts w:hint="eastAsia" w:ascii="宋体" w:hAnsi="宋体" w:cs="宋体"/>
          <w:color w:val="auto"/>
          <w:szCs w:val="21"/>
          <w:highlight w:val="none"/>
        </w:rPr>
        <w:t>发包人提供支付担保的形式：</w:t>
      </w:r>
      <w:r>
        <w:rPr>
          <w:rFonts w:hint="eastAsia" w:ascii="宋体" w:hAnsi="宋体" w:cs="宋体"/>
          <w:color w:val="auto"/>
          <w:szCs w:val="21"/>
          <w:highlight w:val="none"/>
          <w:u w:val="single"/>
        </w:rPr>
        <w:t xml:space="preserve">      ／    </w:t>
      </w:r>
      <w:r>
        <w:rPr>
          <w:rFonts w:hint="eastAsia" w:ascii="宋体" w:hAnsi="宋体" w:cs="宋体"/>
          <w:color w:val="auto"/>
          <w:szCs w:val="21"/>
          <w:highlight w:val="none"/>
        </w:rPr>
        <w:t>。</w:t>
      </w:r>
    </w:p>
    <w:p w14:paraId="0C21C863">
      <w:pPr>
        <w:pStyle w:val="6"/>
        <w:spacing w:line="480" w:lineRule="exact"/>
        <w:jc w:val="left"/>
        <w:rPr>
          <w:rFonts w:ascii="宋体" w:hAnsi="宋体" w:cs="宋体"/>
          <w:b/>
          <w:color w:val="auto"/>
          <w:szCs w:val="21"/>
          <w:highlight w:val="none"/>
        </w:rPr>
      </w:pPr>
      <w:bookmarkStart w:id="874" w:name="_Toc351203635"/>
      <w:r>
        <w:rPr>
          <w:rFonts w:hint="eastAsia" w:ascii="宋体" w:hAnsi="宋体" w:cs="宋体"/>
          <w:b/>
          <w:color w:val="auto"/>
          <w:szCs w:val="21"/>
          <w:highlight w:val="none"/>
        </w:rPr>
        <w:t>3</w:t>
      </w:r>
      <w:bookmarkStart w:id="875" w:name="_Toc296890986"/>
      <w:bookmarkStart w:id="876" w:name="_Toc292559868"/>
      <w:bookmarkStart w:id="877" w:name="_Toc297120458"/>
      <w:bookmarkStart w:id="878" w:name="_Toc296891198"/>
      <w:bookmarkStart w:id="879" w:name="_Toc296346659"/>
      <w:bookmarkStart w:id="880" w:name="_Toc296944497"/>
      <w:bookmarkStart w:id="881" w:name="_Toc296503158"/>
      <w:bookmarkStart w:id="882" w:name="_Toc297048344"/>
      <w:bookmarkStart w:id="883" w:name="_Toc292559363"/>
      <w:bookmarkStart w:id="884" w:name="_Toc296347157"/>
      <w:r>
        <w:rPr>
          <w:rFonts w:hint="eastAsia" w:ascii="宋体" w:hAnsi="宋体" w:cs="宋体"/>
          <w:b/>
          <w:color w:val="auto"/>
          <w:szCs w:val="21"/>
          <w:highlight w:val="none"/>
        </w:rPr>
        <w:t>. 承包人</w:t>
      </w:r>
      <w:bookmarkEnd w:id="874"/>
    </w:p>
    <w:bookmarkEnd w:id="875"/>
    <w:bookmarkEnd w:id="876"/>
    <w:bookmarkEnd w:id="877"/>
    <w:bookmarkEnd w:id="878"/>
    <w:bookmarkEnd w:id="879"/>
    <w:bookmarkEnd w:id="880"/>
    <w:bookmarkEnd w:id="881"/>
    <w:bookmarkEnd w:id="882"/>
    <w:bookmarkEnd w:id="883"/>
    <w:bookmarkEnd w:id="884"/>
    <w:p w14:paraId="11362CC9">
      <w:pPr>
        <w:spacing w:line="480" w:lineRule="exact"/>
        <w:ind w:firstLine="420" w:firstLineChars="200"/>
        <w:rPr>
          <w:rFonts w:ascii="宋体" w:hAnsi="宋体" w:cs="宋体"/>
          <w:color w:val="auto"/>
          <w:szCs w:val="21"/>
          <w:highlight w:val="none"/>
        </w:rPr>
      </w:pPr>
      <w:r>
        <w:rPr>
          <w:rFonts w:hint="eastAsia" w:ascii="宋体" w:hAnsi="宋体" w:cs="宋体"/>
          <w:color w:val="auto"/>
          <w:szCs w:val="21"/>
          <w:highlight w:val="none"/>
        </w:rPr>
        <w:t>3.1 承包人的一般义务</w:t>
      </w:r>
    </w:p>
    <w:p w14:paraId="4B0FC573">
      <w:pPr>
        <w:spacing w:line="480" w:lineRule="exact"/>
        <w:ind w:firstLine="420" w:firstLineChars="200"/>
        <w:jc w:val="left"/>
        <w:rPr>
          <w:rFonts w:ascii="宋体" w:hAnsi="宋体" w:cs="宋体"/>
          <w:color w:val="auto"/>
          <w:szCs w:val="21"/>
          <w:highlight w:val="none"/>
          <w:u w:val="single"/>
        </w:rPr>
      </w:pPr>
      <w:r>
        <w:rPr>
          <w:rFonts w:hint="eastAsia" w:ascii="宋体" w:hAnsi="宋体" w:cs="宋体"/>
          <w:color w:val="auto"/>
          <w:kern w:val="0"/>
          <w:szCs w:val="21"/>
          <w:highlight w:val="none"/>
        </w:rPr>
        <w:t>（5）</w:t>
      </w:r>
      <w:r>
        <w:rPr>
          <w:rFonts w:hint="eastAsia" w:ascii="宋体" w:hAnsi="宋体" w:cs="宋体"/>
          <w:color w:val="auto"/>
          <w:szCs w:val="21"/>
          <w:highlight w:val="none"/>
        </w:rPr>
        <w:t>承包人提交的竣工资料的内容：</w:t>
      </w:r>
      <w:r>
        <w:rPr>
          <w:rFonts w:hint="eastAsia" w:ascii="宋体" w:hAnsi="宋体" w:cs="宋体"/>
          <w:color w:val="auto"/>
          <w:szCs w:val="21"/>
          <w:highlight w:val="none"/>
          <w:u w:val="single"/>
        </w:rPr>
        <w:t xml:space="preserve"> 按相关规范规程执行 </w:t>
      </w:r>
      <w:r>
        <w:rPr>
          <w:rFonts w:hint="eastAsia" w:ascii="宋体" w:hAnsi="宋体" w:cs="宋体"/>
          <w:color w:val="auto"/>
          <w:szCs w:val="21"/>
          <w:highlight w:val="none"/>
        </w:rPr>
        <w:t>。</w:t>
      </w:r>
    </w:p>
    <w:p w14:paraId="5A5EA0ED">
      <w:pPr>
        <w:spacing w:line="480" w:lineRule="exact"/>
        <w:ind w:firstLine="420" w:firstLineChars="200"/>
        <w:jc w:val="left"/>
        <w:rPr>
          <w:rFonts w:ascii="宋体" w:hAnsi="宋体" w:cs="宋体"/>
          <w:color w:val="auto"/>
          <w:szCs w:val="21"/>
          <w:highlight w:val="none"/>
        </w:rPr>
      </w:pPr>
      <w:r>
        <w:rPr>
          <w:rFonts w:hint="eastAsia" w:ascii="宋体" w:hAnsi="宋体" w:cs="宋体"/>
          <w:color w:val="auto"/>
          <w:szCs w:val="21"/>
          <w:highlight w:val="none"/>
        </w:rPr>
        <w:t>承包人需要提交的竣工资料套数：</w:t>
      </w:r>
      <w:bookmarkStart w:id="885" w:name="OLE_LINK27"/>
      <w:bookmarkStart w:id="886" w:name="OLE_LINK26"/>
      <w:r>
        <w:rPr>
          <w:rFonts w:hint="eastAsia" w:ascii="宋体" w:hAnsi="宋体" w:cs="宋体"/>
          <w:color w:val="auto"/>
          <w:szCs w:val="21"/>
          <w:highlight w:val="none"/>
          <w:u w:val="single"/>
        </w:rPr>
        <w:t>肆套</w:t>
      </w:r>
      <w:bookmarkEnd w:id="885"/>
      <w:bookmarkEnd w:id="886"/>
      <w:r>
        <w:rPr>
          <w:rFonts w:hint="eastAsia" w:ascii="宋体" w:hAnsi="宋体" w:cs="宋体"/>
          <w:color w:val="auto"/>
          <w:szCs w:val="21"/>
          <w:highlight w:val="none"/>
        </w:rPr>
        <w:t>。</w:t>
      </w:r>
    </w:p>
    <w:p w14:paraId="755FF0F0">
      <w:pPr>
        <w:spacing w:line="480" w:lineRule="exact"/>
        <w:ind w:firstLine="420" w:firstLineChars="200"/>
        <w:jc w:val="left"/>
        <w:rPr>
          <w:rFonts w:ascii="宋体" w:hAnsi="宋体" w:cs="宋体"/>
          <w:color w:val="auto"/>
          <w:szCs w:val="21"/>
          <w:highlight w:val="none"/>
        </w:rPr>
      </w:pPr>
      <w:r>
        <w:rPr>
          <w:rFonts w:hint="eastAsia" w:ascii="宋体" w:hAnsi="宋体" w:cs="宋体"/>
          <w:color w:val="auto"/>
          <w:szCs w:val="21"/>
          <w:highlight w:val="none"/>
        </w:rPr>
        <w:t>承包人提交的竣工资料的费用承担：</w:t>
      </w:r>
      <w:r>
        <w:rPr>
          <w:rFonts w:hint="eastAsia" w:ascii="宋体" w:hAnsi="宋体" w:cs="宋体"/>
          <w:color w:val="auto"/>
          <w:szCs w:val="21"/>
          <w:highlight w:val="none"/>
          <w:u w:val="single"/>
        </w:rPr>
        <w:t>由承包人承担</w:t>
      </w:r>
      <w:r>
        <w:rPr>
          <w:rFonts w:hint="eastAsia" w:ascii="宋体" w:hAnsi="宋体" w:cs="宋体"/>
          <w:color w:val="auto"/>
          <w:szCs w:val="21"/>
          <w:highlight w:val="none"/>
        </w:rPr>
        <w:t>。</w:t>
      </w:r>
    </w:p>
    <w:p w14:paraId="3C417DB2">
      <w:pPr>
        <w:spacing w:line="480" w:lineRule="exact"/>
        <w:ind w:firstLine="420" w:firstLineChars="200"/>
        <w:jc w:val="left"/>
        <w:rPr>
          <w:rFonts w:ascii="宋体" w:hAnsi="宋体" w:cs="宋体"/>
          <w:color w:val="auto"/>
          <w:szCs w:val="21"/>
          <w:highlight w:val="none"/>
        </w:rPr>
      </w:pPr>
      <w:r>
        <w:rPr>
          <w:rFonts w:hint="eastAsia" w:ascii="宋体" w:hAnsi="宋体" w:cs="宋体"/>
          <w:color w:val="auto"/>
          <w:szCs w:val="21"/>
          <w:highlight w:val="none"/>
        </w:rPr>
        <w:t>承包人提交的竣工资料移交时间：</w:t>
      </w:r>
      <w:r>
        <w:rPr>
          <w:rFonts w:hint="eastAsia" w:ascii="宋体" w:hAnsi="宋体" w:cs="宋体"/>
          <w:color w:val="auto"/>
          <w:szCs w:val="21"/>
          <w:highlight w:val="none"/>
          <w:u w:val="single"/>
        </w:rPr>
        <w:t>竣工验收合格15日内</w:t>
      </w:r>
      <w:r>
        <w:rPr>
          <w:rFonts w:hint="eastAsia" w:ascii="宋体" w:hAnsi="宋体" w:cs="宋体"/>
          <w:color w:val="auto"/>
          <w:szCs w:val="21"/>
          <w:highlight w:val="none"/>
        </w:rPr>
        <w:t>。</w:t>
      </w:r>
    </w:p>
    <w:p w14:paraId="0B340AD4">
      <w:pPr>
        <w:spacing w:line="480" w:lineRule="exact"/>
        <w:ind w:firstLine="420" w:firstLineChars="200"/>
        <w:jc w:val="left"/>
        <w:rPr>
          <w:rFonts w:ascii="宋体" w:hAnsi="宋体" w:cs="宋体"/>
          <w:color w:val="auto"/>
          <w:szCs w:val="21"/>
          <w:highlight w:val="none"/>
        </w:rPr>
      </w:pPr>
      <w:r>
        <w:rPr>
          <w:rFonts w:hint="eastAsia" w:ascii="宋体" w:hAnsi="宋体" w:cs="宋体"/>
          <w:color w:val="auto"/>
          <w:szCs w:val="21"/>
          <w:highlight w:val="none"/>
        </w:rPr>
        <w:t>承包人提交的竣工资料形式要求：</w:t>
      </w:r>
      <w:bookmarkStart w:id="887" w:name="OLE_LINK28"/>
      <w:bookmarkStart w:id="888" w:name="OLE_LINK29"/>
      <w:r>
        <w:rPr>
          <w:rFonts w:hint="eastAsia" w:ascii="宋体" w:hAnsi="宋体" w:cs="宋体"/>
          <w:color w:val="auto"/>
          <w:szCs w:val="21"/>
          <w:highlight w:val="none"/>
          <w:u w:val="single"/>
        </w:rPr>
        <w:t>纸质肆套，电子光盘壹张</w:t>
      </w:r>
      <w:bookmarkEnd w:id="887"/>
      <w:bookmarkEnd w:id="888"/>
      <w:r>
        <w:rPr>
          <w:rFonts w:hint="eastAsia" w:ascii="宋体" w:hAnsi="宋体" w:cs="宋体"/>
          <w:color w:val="auto"/>
          <w:szCs w:val="21"/>
          <w:highlight w:val="none"/>
        </w:rPr>
        <w:t>。</w:t>
      </w:r>
    </w:p>
    <w:p w14:paraId="5A56149B">
      <w:pPr>
        <w:spacing w:line="480" w:lineRule="exact"/>
        <w:ind w:firstLine="420" w:firstLineChars="200"/>
        <w:rPr>
          <w:rFonts w:ascii="宋体" w:hAnsi="宋体" w:cs="宋体"/>
          <w:color w:val="auto"/>
          <w:szCs w:val="21"/>
          <w:highlight w:val="none"/>
        </w:rPr>
      </w:pPr>
      <w:r>
        <w:rPr>
          <w:rFonts w:hint="eastAsia" w:ascii="宋体" w:hAnsi="宋体" w:cs="宋体"/>
          <w:color w:val="auto"/>
          <w:kern w:val="0"/>
          <w:szCs w:val="21"/>
          <w:highlight w:val="none"/>
        </w:rPr>
        <w:t>（6）承包人应履行的其他义务：</w:t>
      </w:r>
      <w:r>
        <w:rPr>
          <w:rFonts w:hint="eastAsia" w:ascii="宋体" w:hAnsi="宋体" w:cs="宋体"/>
          <w:color w:val="auto"/>
          <w:szCs w:val="21"/>
          <w:highlight w:val="none"/>
          <w:u w:val="single"/>
        </w:rPr>
        <w:t xml:space="preserve"> 按通用条款3.1执行</w:t>
      </w:r>
      <w:r>
        <w:rPr>
          <w:rFonts w:hint="eastAsia" w:ascii="宋体" w:hAnsi="宋体" w:cs="宋体"/>
          <w:color w:val="auto"/>
          <w:szCs w:val="21"/>
          <w:highlight w:val="none"/>
        </w:rPr>
        <w:t>。</w:t>
      </w:r>
    </w:p>
    <w:p w14:paraId="11A4E176">
      <w:pPr>
        <w:spacing w:line="480" w:lineRule="exact"/>
        <w:ind w:firstLine="420" w:firstLineChars="200"/>
        <w:rPr>
          <w:rFonts w:ascii="宋体" w:hAnsi="宋体" w:cs="宋体"/>
          <w:color w:val="auto"/>
          <w:szCs w:val="21"/>
          <w:highlight w:val="none"/>
        </w:rPr>
      </w:pPr>
      <w:r>
        <w:rPr>
          <w:rFonts w:hint="eastAsia" w:ascii="宋体" w:hAnsi="宋体" w:cs="宋体"/>
          <w:color w:val="auto"/>
          <w:szCs w:val="21"/>
          <w:highlight w:val="none"/>
        </w:rPr>
        <w:t>3.2 项目经理</w:t>
      </w:r>
    </w:p>
    <w:p w14:paraId="7C1710F1">
      <w:pPr>
        <w:spacing w:line="480" w:lineRule="exact"/>
        <w:ind w:firstLine="420" w:firstLineChars="200"/>
        <w:rPr>
          <w:rFonts w:ascii="宋体" w:hAnsi="宋体" w:cs="宋体"/>
          <w:color w:val="auto"/>
          <w:szCs w:val="21"/>
          <w:highlight w:val="none"/>
        </w:rPr>
      </w:pPr>
      <w:r>
        <w:rPr>
          <w:rFonts w:hint="eastAsia" w:ascii="宋体" w:hAnsi="宋体" w:cs="宋体"/>
          <w:color w:val="auto"/>
          <w:kern w:val="0"/>
          <w:szCs w:val="21"/>
          <w:highlight w:val="none"/>
        </w:rPr>
        <w:t xml:space="preserve">3.2.1 </w:t>
      </w:r>
      <w:r>
        <w:rPr>
          <w:rFonts w:hint="eastAsia" w:ascii="宋体" w:hAnsi="宋体" w:cs="宋体"/>
          <w:color w:val="auto"/>
          <w:szCs w:val="21"/>
          <w:highlight w:val="none"/>
        </w:rPr>
        <w:t>项目经理：</w:t>
      </w:r>
    </w:p>
    <w:p w14:paraId="60B26AAA">
      <w:pPr>
        <w:spacing w:line="480" w:lineRule="exact"/>
        <w:ind w:firstLine="420" w:firstLineChars="200"/>
        <w:rPr>
          <w:rFonts w:ascii="宋体" w:hAnsi="宋体" w:cs="宋体"/>
          <w:color w:val="auto"/>
          <w:szCs w:val="21"/>
          <w:highlight w:val="none"/>
        </w:rPr>
      </w:pPr>
      <w:r>
        <w:rPr>
          <w:rFonts w:hint="eastAsia" w:ascii="宋体" w:hAnsi="宋体" w:cs="宋体"/>
          <w:color w:val="auto"/>
          <w:szCs w:val="21"/>
          <w:highlight w:val="none"/>
        </w:rPr>
        <w:t>姓    名：</w:t>
      </w:r>
      <w:r>
        <w:rPr>
          <w:rFonts w:hint="eastAsia" w:ascii="宋体" w:hAnsi="宋体" w:cs="宋体"/>
          <w:color w:val="auto"/>
          <w:szCs w:val="21"/>
          <w:highlight w:val="none"/>
          <w:u w:val="single"/>
        </w:rPr>
        <w:t xml:space="preserve">                                </w:t>
      </w:r>
      <w:r>
        <w:rPr>
          <w:rFonts w:hint="eastAsia" w:ascii="宋体" w:hAnsi="宋体" w:cs="宋体"/>
          <w:color w:val="auto"/>
          <w:szCs w:val="21"/>
          <w:highlight w:val="none"/>
        </w:rPr>
        <w:t>；</w:t>
      </w:r>
    </w:p>
    <w:p w14:paraId="3565F1D6">
      <w:pPr>
        <w:spacing w:line="480" w:lineRule="exact"/>
        <w:ind w:firstLine="420" w:firstLineChars="200"/>
        <w:rPr>
          <w:rFonts w:ascii="宋体" w:hAnsi="宋体" w:cs="宋体"/>
          <w:color w:val="auto"/>
          <w:szCs w:val="21"/>
          <w:highlight w:val="none"/>
        </w:rPr>
      </w:pPr>
      <w:r>
        <w:rPr>
          <w:rFonts w:hint="eastAsia" w:ascii="宋体" w:hAnsi="宋体" w:cs="宋体"/>
          <w:color w:val="auto"/>
          <w:szCs w:val="21"/>
          <w:highlight w:val="none"/>
        </w:rPr>
        <w:t>身份证号：</w:t>
      </w:r>
      <w:r>
        <w:rPr>
          <w:rFonts w:hint="eastAsia" w:ascii="宋体" w:hAnsi="宋体" w:cs="宋体"/>
          <w:color w:val="auto"/>
          <w:szCs w:val="21"/>
          <w:highlight w:val="none"/>
          <w:u w:val="single"/>
        </w:rPr>
        <w:t xml:space="preserve">                                </w:t>
      </w:r>
      <w:r>
        <w:rPr>
          <w:rFonts w:hint="eastAsia" w:ascii="宋体" w:hAnsi="宋体" w:cs="宋体"/>
          <w:color w:val="auto"/>
          <w:szCs w:val="21"/>
          <w:highlight w:val="none"/>
        </w:rPr>
        <w:t>；</w:t>
      </w:r>
    </w:p>
    <w:p w14:paraId="1887C0DE">
      <w:pPr>
        <w:spacing w:line="480" w:lineRule="exact"/>
        <w:ind w:firstLine="420" w:firstLineChars="200"/>
        <w:rPr>
          <w:rFonts w:ascii="宋体" w:hAnsi="宋体" w:cs="宋体"/>
          <w:color w:val="auto"/>
          <w:szCs w:val="21"/>
          <w:highlight w:val="none"/>
        </w:rPr>
      </w:pPr>
      <w:r>
        <w:rPr>
          <w:rFonts w:hint="eastAsia" w:ascii="宋体" w:hAnsi="宋体" w:cs="宋体"/>
          <w:color w:val="auto"/>
          <w:szCs w:val="21"/>
          <w:highlight w:val="none"/>
        </w:rPr>
        <w:t>建造师执业资格等级：</w:t>
      </w:r>
      <w:r>
        <w:rPr>
          <w:rFonts w:hint="eastAsia" w:ascii="宋体" w:hAnsi="宋体" w:cs="宋体"/>
          <w:color w:val="auto"/>
          <w:szCs w:val="21"/>
          <w:highlight w:val="none"/>
          <w:u w:val="single"/>
        </w:rPr>
        <w:t xml:space="preserve">                      </w:t>
      </w:r>
      <w:r>
        <w:rPr>
          <w:rFonts w:hint="eastAsia" w:ascii="宋体" w:hAnsi="宋体" w:cs="宋体"/>
          <w:color w:val="auto"/>
          <w:szCs w:val="21"/>
          <w:highlight w:val="none"/>
        </w:rPr>
        <w:t>；</w:t>
      </w:r>
    </w:p>
    <w:p w14:paraId="5AA33E11">
      <w:pPr>
        <w:spacing w:line="480" w:lineRule="exact"/>
        <w:ind w:firstLine="420" w:firstLineChars="200"/>
        <w:rPr>
          <w:rFonts w:ascii="宋体" w:hAnsi="宋体" w:cs="宋体"/>
          <w:color w:val="auto"/>
          <w:szCs w:val="21"/>
          <w:highlight w:val="none"/>
        </w:rPr>
      </w:pPr>
      <w:r>
        <w:rPr>
          <w:rFonts w:hint="eastAsia" w:ascii="宋体" w:hAnsi="宋体" w:cs="宋体"/>
          <w:color w:val="auto"/>
          <w:szCs w:val="21"/>
          <w:highlight w:val="none"/>
        </w:rPr>
        <w:t>建造师注册证书号：</w:t>
      </w:r>
      <w:r>
        <w:rPr>
          <w:rFonts w:hint="eastAsia" w:ascii="宋体" w:hAnsi="宋体" w:cs="宋体"/>
          <w:color w:val="auto"/>
          <w:szCs w:val="21"/>
          <w:highlight w:val="none"/>
          <w:u w:val="single"/>
        </w:rPr>
        <w:t xml:space="preserve">                        </w:t>
      </w:r>
      <w:r>
        <w:rPr>
          <w:rFonts w:hint="eastAsia" w:ascii="宋体" w:hAnsi="宋体" w:cs="宋体"/>
          <w:color w:val="auto"/>
          <w:szCs w:val="21"/>
          <w:highlight w:val="none"/>
        </w:rPr>
        <w:t>；</w:t>
      </w:r>
    </w:p>
    <w:p w14:paraId="0FF79856">
      <w:pPr>
        <w:spacing w:line="480" w:lineRule="exact"/>
        <w:ind w:firstLine="420" w:firstLineChars="200"/>
        <w:rPr>
          <w:rFonts w:ascii="宋体" w:hAnsi="宋体" w:cs="宋体"/>
          <w:color w:val="auto"/>
          <w:szCs w:val="21"/>
          <w:highlight w:val="none"/>
        </w:rPr>
      </w:pPr>
      <w:r>
        <w:rPr>
          <w:rFonts w:hint="eastAsia" w:ascii="宋体" w:hAnsi="宋体" w:cs="宋体"/>
          <w:color w:val="auto"/>
          <w:szCs w:val="21"/>
          <w:highlight w:val="none"/>
        </w:rPr>
        <w:t>建造师执业印章号：</w:t>
      </w:r>
      <w:r>
        <w:rPr>
          <w:rFonts w:hint="eastAsia" w:ascii="宋体" w:hAnsi="宋体" w:cs="宋体"/>
          <w:color w:val="auto"/>
          <w:szCs w:val="21"/>
          <w:highlight w:val="none"/>
          <w:u w:val="single"/>
        </w:rPr>
        <w:t xml:space="preserve">                        </w:t>
      </w:r>
      <w:r>
        <w:rPr>
          <w:rFonts w:hint="eastAsia" w:ascii="宋体" w:hAnsi="宋体" w:cs="宋体"/>
          <w:color w:val="auto"/>
          <w:szCs w:val="21"/>
          <w:highlight w:val="none"/>
        </w:rPr>
        <w:t>；</w:t>
      </w:r>
    </w:p>
    <w:p w14:paraId="0E265C6B">
      <w:pPr>
        <w:spacing w:line="480" w:lineRule="exact"/>
        <w:ind w:firstLine="420" w:firstLineChars="200"/>
        <w:rPr>
          <w:rFonts w:ascii="宋体" w:hAnsi="宋体" w:cs="宋体"/>
          <w:color w:val="auto"/>
          <w:szCs w:val="21"/>
          <w:highlight w:val="none"/>
        </w:rPr>
      </w:pPr>
      <w:r>
        <w:rPr>
          <w:rFonts w:hint="eastAsia" w:ascii="宋体" w:hAnsi="宋体" w:cs="宋体"/>
          <w:color w:val="auto"/>
          <w:szCs w:val="21"/>
          <w:highlight w:val="none"/>
        </w:rPr>
        <w:t>安全生产考核合格证书号：</w:t>
      </w:r>
      <w:r>
        <w:rPr>
          <w:rFonts w:hint="eastAsia" w:ascii="宋体" w:hAnsi="宋体" w:cs="宋体"/>
          <w:color w:val="auto"/>
          <w:szCs w:val="21"/>
          <w:highlight w:val="none"/>
          <w:u w:val="single"/>
        </w:rPr>
        <w:t xml:space="preserve">                  </w:t>
      </w:r>
      <w:r>
        <w:rPr>
          <w:rFonts w:hint="eastAsia" w:ascii="宋体" w:hAnsi="宋体" w:cs="宋体"/>
          <w:color w:val="auto"/>
          <w:szCs w:val="21"/>
          <w:highlight w:val="none"/>
        </w:rPr>
        <w:t>；</w:t>
      </w:r>
    </w:p>
    <w:p w14:paraId="47476D97">
      <w:pPr>
        <w:spacing w:line="480" w:lineRule="exact"/>
        <w:ind w:firstLine="420" w:firstLineChars="200"/>
        <w:rPr>
          <w:rFonts w:ascii="宋体" w:hAnsi="宋体" w:cs="宋体"/>
          <w:color w:val="auto"/>
          <w:szCs w:val="21"/>
          <w:highlight w:val="none"/>
        </w:rPr>
      </w:pPr>
      <w:r>
        <w:rPr>
          <w:rFonts w:hint="eastAsia" w:ascii="宋体" w:hAnsi="宋体" w:cs="宋体"/>
          <w:color w:val="auto"/>
          <w:szCs w:val="21"/>
          <w:highlight w:val="none"/>
        </w:rPr>
        <w:t>联系电话：</w:t>
      </w:r>
      <w:r>
        <w:rPr>
          <w:rFonts w:hint="eastAsia" w:ascii="宋体" w:hAnsi="宋体" w:cs="宋体"/>
          <w:color w:val="auto"/>
          <w:szCs w:val="21"/>
          <w:highlight w:val="none"/>
          <w:u w:val="single"/>
        </w:rPr>
        <w:t xml:space="preserve">                                </w:t>
      </w:r>
      <w:r>
        <w:rPr>
          <w:rFonts w:hint="eastAsia" w:ascii="宋体" w:hAnsi="宋体" w:cs="宋体"/>
          <w:color w:val="auto"/>
          <w:szCs w:val="21"/>
          <w:highlight w:val="none"/>
        </w:rPr>
        <w:t>；</w:t>
      </w:r>
    </w:p>
    <w:p w14:paraId="6DE65161">
      <w:pPr>
        <w:spacing w:line="480" w:lineRule="exact"/>
        <w:ind w:firstLine="420" w:firstLineChars="200"/>
        <w:rPr>
          <w:rFonts w:ascii="宋体" w:hAnsi="宋体" w:cs="宋体"/>
          <w:color w:val="auto"/>
          <w:szCs w:val="21"/>
          <w:highlight w:val="none"/>
        </w:rPr>
      </w:pPr>
      <w:r>
        <w:rPr>
          <w:rFonts w:hint="eastAsia" w:ascii="宋体" w:hAnsi="宋体" w:cs="宋体"/>
          <w:color w:val="auto"/>
          <w:szCs w:val="21"/>
          <w:highlight w:val="none"/>
        </w:rPr>
        <w:t>电子信箱：</w:t>
      </w:r>
      <w:r>
        <w:rPr>
          <w:rFonts w:hint="eastAsia" w:ascii="宋体" w:hAnsi="宋体" w:cs="宋体"/>
          <w:color w:val="auto"/>
          <w:szCs w:val="21"/>
          <w:highlight w:val="none"/>
          <w:u w:val="single"/>
        </w:rPr>
        <w:t xml:space="preserve">                                </w:t>
      </w:r>
      <w:r>
        <w:rPr>
          <w:rFonts w:hint="eastAsia" w:ascii="宋体" w:hAnsi="宋体" w:cs="宋体"/>
          <w:color w:val="auto"/>
          <w:szCs w:val="21"/>
          <w:highlight w:val="none"/>
        </w:rPr>
        <w:t>；</w:t>
      </w:r>
    </w:p>
    <w:p w14:paraId="3EC9843E">
      <w:pPr>
        <w:spacing w:line="480" w:lineRule="exact"/>
        <w:ind w:firstLine="420" w:firstLineChars="200"/>
        <w:rPr>
          <w:rFonts w:ascii="宋体" w:hAnsi="宋体" w:cs="宋体"/>
          <w:color w:val="auto"/>
          <w:szCs w:val="21"/>
          <w:highlight w:val="none"/>
        </w:rPr>
      </w:pPr>
      <w:r>
        <w:rPr>
          <w:rFonts w:hint="eastAsia" w:ascii="宋体" w:hAnsi="宋体" w:cs="宋体"/>
          <w:color w:val="auto"/>
          <w:szCs w:val="21"/>
          <w:highlight w:val="none"/>
        </w:rPr>
        <w:t>通信地址：</w:t>
      </w:r>
      <w:r>
        <w:rPr>
          <w:rFonts w:hint="eastAsia" w:ascii="宋体" w:hAnsi="宋体" w:cs="宋体"/>
          <w:color w:val="auto"/>
          <w:szCs w:val="21"/>
          <w:highlight w:val="none"/>
          <w:u w:val="single"/>
        </w:rPr>
        <w:t xml:space="preserve">                                </w:t>
      </w:r>
      <w:r>
        <w:rPr>
          <w:rFonts w:hint="eastAsia" w:ascii="宋体" w:hAnsi="宋体" w:cs="宋体"/>
          <w:color w:val="auto"/>
          <w:szCs w:val="21"/>
          <w:highlight w:val="none"/>
        </w:rPr>
        <w:t>；</w:t>
      </w:r>
    </w:p>
    <w:p w14:paraId="2066D614">
      <w:pPr>
        <w:spacing w:line="480" w:lineRule="exact"/>
        <w:ind w:firstLine="420" w:firstLineChars="200"/>
        <w:rPr>
          <w:rFonts w:ascii="宋体" w:hAnsi="宋体" w:cs="宋体"/>
          <w:color w:val="auto"/>
          <w:szCs w:val="21"/>
          <w:highlight w:val="none"/>
        </w:rPr>
      </w:pPr>
      <w:r>
        <w:rPr>
          <w:rFonts w:hint="eastAsia" w:ascii="宋体" w:hAnsi="宋体" w:cs="宋体"/>
          <w:color w:val="auto"/>
          <w:szCs w:val="21"/>
          <w:highlight w:val="none"/>
        </w:rPr>
        <w:t>承包人对项目经理的授权范围如下：</w:t>
      </w:r>
      <w:r>
        <w:rPr>
          <w:rFonts w:hint="eastAsia" w:ascii="宋体" w:hAnsi="宋体" w:cs="宋体"/>
          <w:color w:val="auto"/>
          <w:highlight w:val="none"/>
          <w:u w:val="single"/>
        </w:rPr>
        <w:t>负责项目现场施工的具体组织与实施</w:t>
      </w:r>
      <w:r>
        <w:rPr>
          <w:rFonts w:hint="eastAsia" w:ascii="宋体" w:hAnsi="宋体" w:cs="宋体"/>
          <w:color w:val="auto"/>
          <w:szCs w:val="21"/>
          <w:highlight w:val="none"/>
        </w:rPr>
        <w:t>。</w:t>
      </w:r>
    </w:p>
    <w:p w14:paraId="09212DE3">
      <w:pPr>
        <w:spacing w:line="480" w:lineRule="exact"/>
        <w:ind w:firstLine="420" w:firstLineChars="200"/>
        <w:jc w:val="left"/>
        <w:rPr>
          <w:rFonts w:ascii="宋体" w:hAnsi="宋体" w:cs="宋体"/>
          <w:color w:val="auto"/>
          <w:kern w:val="0"/>
          <w:szCs w:val="21"/>
          <w:highlight w:val="none"/>
        </w:rPr>
      </w:pPr>
      <w:r>
        <w:rPr>
          <w:rFonts w:hint="eastAsia" w:ascii="宋体" w:hAnsi="宋体" w:cs="宋体"/>
          <w:color w:val="auto"/>
          <w:kern w:val="0"/>
          <w:szCs w:val="21"/>
          <w:highlight w:val="none"/>
        </w:rPr>
        <w:t>关于项目经理每月在施工现场的时间要求：</w:t>
      </w:r>
      <w:r>
        <w:rPr>
          <w:rFonts w:hint="eastAsia" w:ascii="宋体" w:hAnsi="宋体" w:cs="宋体"/>
          <w:color w:val="auto"/>
          <w:szCs w:val="21"/>
          <w:highlight w:val="none"/>
          <w:u w:val="single"/>
        </w:rPr>
        <w:t>常驻</w:t>
      </w:r>
      <w:r>
        <w:rPr>
          <w:rFonts w:hint="eastAsia" w:ascii="宋体" w:hAnsi="宋体" w:cs="宋体"/>
          <w:color w:val="auto"/>
          <w:szCs w:val="21"/>
          <w:highlight w:val="none"/>
        </w:rPr>
        <w:t>。</w:t>
      </w:r>
    </w:p>
    <w:p w14:paraId="175389EF">
      <w:pPr>
        <w:spacing w:line="480" w:lineRule="exact"/>
        <w:ind w:firstLine="420" w:firstLineChars="200"/>
        <w:rPr>
          <w:rFonts w:ascii="宋体" w:hAnsi="宋体" w:cs="宋体"/>
          <w:color w:val="auto"/>
          <w:kern w:val="0"/>
          <w:szCs w:val="21"/>
          <w:highlight w:val="none"/>
        </w:rPr>
      </w:pPr>
      <w:r>
        <w:rPr>
          <w:rFonts w:hint="eastAsia" w:ascii="宋体" w:hAnsi="宋体" w:cs="宋体"/>
          <w:color w:val="auto"/>
          <w:kern w:val="0"/>
          <w:szCs w:val="21"/>
          <w:highlight w:val="none"/>
        </w:rPr>
        <w:t>承包人未提交劳动合同，以及没有为项目经理缴纳社会保险证明的违约责任：</w:t>
      </w:r>
      <w:r>
        <w:rPr>
          <w:rFonts w:hint="eastAsia" w:ascii="宋体" w:hAnsi="宋体" w:cs="宋体"/>
          <w:color w:val="auto"/>
          <w:szCs w:val="21"/>
          <w:highlight w:val="none"/>
          <w:u w:val="single"/>
        </w:rPr>
        <w:t>按通用合同条款3.2.1执行</w:t>
      </w:r>
      <w:r>
        <w:rPr>
          <w:rFonts w:hint="eastAsia" w:ascii="宋体" w:hAnsi="宋体" w:cs="宋体"/>
          <w:color w:val="auto"/>
          <w:szCs w:val="21"/>
          <w:highlight w:val="none"/>
        </w:rPr>
        <w:t>。</w:t>
      </w:r>
    </w:p>
    <w:p w14:paraId="2134C306">
      <w:pPr>
        <w:spacing w:line="480" w:lineRule="exact"/>
        <w:ind w:firstLine="420" w:firstLineChars="200"/>
        <w:rPr>
          <w:rFonts w:ascii="宋体" w:hAnsi="宋体" w:cs="宋体"/>
          <w:color w:val="auto"/>
          <w:szCs w:val="21"/>
          <w:highlight w:val="none"/>
          <w:u w:val="single"/>
        </w:rPr>
      </w:pPr>
      <w:bookmarkStart w:id="889" w:name="OLE_LINK30"/>
      <w:r>
        <w:rPr>
          <w:rFonts w:hint="eastAsia" w:ascii="宋体" w:hAnsi="宋体" w:cs="宋体"/>
          <w:color w:val="auto"/>
          <w:kern w:val="0"/>
          <w:szCs w:val="21"/>
          <w:highlight w:val="none"/>
        </w:rPr>
        <w:t>项目经理未经批准，擅自离开施工现场的违约责任：</w:t>
      </w:r>
      <w:r>
        <w:rPr>
          <w:rFonts w:hint="eastAsia" w:ascii="宋体" w:hAnsi="宋体" w:cs="宋体"/>
          <w:color w:val="auto"/>
          <w:szCs w:val="21"/>
          <w:highlight w:val="none"/>
          <w:u w:val="single"/>
        </w:rPr>
        <w:t>按1000元/天支付违约金</w:t>
      </w:r>
      <w:r>
        <w:rPr>
          <w:rFonts w:hint="eastAsia" w:ascii="宋体" w:hAnsi="宋体" w:cs="宋体"/>
          <w:color w:val="auto"/>
          <w:szCs w:val="21"/>
          <w:highlight w:val="none"/>
        </w:rPr>
        <w:t>。</w:t>
      </w:r>
    </w:p>
    <w:bookmarkEnd w:id="889"/>
    <w:p w14:paraId="6118DC9C">
      <w:pPr>
        <w:spacing w:line="480" w:lineRule="exact"/>
        <w:ind w:firstLine="420" w:firstLineChars="200"/>
        <w:rPr>
          <w:rFonts w:ascii="宋体" w:hAnsi="宋体" w:cs="宋体"/>
          <w:color w:val="auto"/>
          <w:szCs w:val="21"/>
          <w:highlight w:val="none"/>
        </w:rPr>
      </w:pPr>
      <w:r>
        <w:rPr>
          <w:rFonts w:hint="eastAsia" w:ascii="宋体" w:hAnsi="宋体" w:cs="宋体"/>
          <w:color w:val="auto"/>
          <w:szCs w:val="21"/>
          <w:highlight w:val="none"/>
        </w:rPr>
        <w:t>3.2.3 承包人擅自更换项目经理的违约责任：</w:t>
      </w:r>
      <w:r>
        <w:rPr>
          <w:rFonts w:hint="eastAsia" w:ascii="宋体" w:hAnsi="宋体" w:cs="宋体"/>
          <w:color w:val="auto"/>
          <w:highlight w:val="none"/>
          <w:u w:val="single"/>
        </w:rPr>
        <w:t>视为承包人违约、发包人有权对承包人收取违约金或解除合同</w:t>
      </w:r>
      <w:r>
        <w:rPr>
          <w:rFonts w:hint="eastAsia" w:ascii="宋体" w:hAnsi="宋体" w:cs="宋体"/>
          <w:color w:val="auto"/>
          <w:szCs w:val="21"/>
          <w:highlight w:val="none"/>
        </w:rPr>
        <w:t>。</w:t>
      </w:r>
    </w:p>
    <w:p w14:paraId="6FF393F1">
      <w:pPr>
        <w:spacing w:line="480" w:lineRule="exact"/>
        <w:rPr>
          <w:rFonts w:ascii="宋体" w:hAnsi="宋体" w:cs="宋体"/>
          <w:color w:val="auto"/>
          <w:szCs w:val="21"/>
          <w:highlight w:val="none"/>
        </w:rPr>
      </w:pPr>
      <w:r>
        <w:rPr>
          <w:rFonts w:hint="eastAsia" w:ascii="宋体" w:hAnsi="宋体" w:cs="宋体"/>
          <w:color w:val="auto"/>
          <w:szCs w:val="21"/>
          <w:highlight w:val="none"/>
        </w:rPr>
        <w:t xml:space="preserve">    3.2.4 承包人无正当理由拒绝更换项目经理的违约责任：</w:t>
      </w:r>
      <w:r>
        <w:rPr>
          <w:rFonts w:hint="eastAsia" w:ascii="宋体" w:hAnsi="宋体" w:cs="宋体"/>
          <w:color w:val="auto"/>
          <w:highlight w:val="none"/>
          <w:u w:val="single"/>
        </w:rPr>
        <w:t>视为承包人违约、发包人有权对承包人收取违约金或解除合同</w:t>
      </w:r>
      <w:r>
        <w:rPr>
          <w:rFonts w:hint="eastAsia" w:ascii="宋体" w:hAnsi="宋体" w:cs="宋体"/>
          <w:color w:val="auto"/>
          <w:szCs w:val="21"/>
          <w:highlight w:val="none"/>
        </w:rPr>
        <w:t>。</w:t>
      </w:r>
    </w:p>
    <w:p w14:paraId="7E6536E0">
      <w:pPr>
        <w:spacing w:line="480" w:lineRule="exact"/>
        <w:ind w:firstLine="420" w:firstLineChars="200"/>
        <w:rPr>
          <w:rFonts w:ascii="宋体" w:hAnsi="宋体" w:cs="宋体"/>
          <w:color w:val="auto"/>
          <w:szCs w:val="21"/>
          <w:highlight w:val="none"/>
        </w:rPr>
      </w:pPr>
      <w:r>
        <w:rPr>
          <w:rFonts w:hint="eastAsia" w:ascii="宋体" w:hAnsi="宋体" w:cs="宋体"/>
          <w:color w:val="auto"/>
          <w:szCs w:val="21"/>
          <w:highlight w:val="none"/>
        </w:rPr>
        <w:t>3.3 承包人人员</w:t>
      </w:r>
    </w:p>
    <w:p w14:paraId="1A2B5534">
      <w:pPr>
        <w:spacing w:line="480" w:lineRule="exact"/>
        <w:ind w:firstLine="420" w:firstLineChars="200"/>
        <w:rPr>
          <w:rFonts w:ascii="宋体" w:hAnsi="宋体" w:cs="宋体"/>
          <w:color w:val="auto"/>
          <w:szCs w:val="21"/>
          <w:highlight w:val="none"/>
        </w:rPr>
      </w:pPr>
      <w:r>
        <w:rPr>
          <w:rFonts w:hint="eastAsia" w:ascii="宋体" w:hAnsi="宋体" w:cs="宋体"/>
          <w:color w:val="auto"/>
          <w:szCs w:val="21"/>
          <w:highlight w:val="none"/>
        </w:rPr>
        <w:t>3.3.1 承包人提交项目管理机构及施工现场管理人员安排报告的期限：</w:t>
      </w:r>
      <w:r>
        <w:rPr>
          <w:rFonts w:hint="eastAsia" w:ascii="宋体" w:hAnsi="宋体" w:cs="宋体"/>
          <w:color w:val="auto"/>
          <w:szCs w:val="21"/>
          <w:highlight w:val="none"/>
          <w:u w:val="single"/>
        </w:rPr>
        <w:t xml:space="preserve">开工7日内  </w:t>
      </w:r>
      <w:r>
        <w:rPr>
          <w:rFonts w:hint="eastAsia" w:ascii="宋体" w:hAnsi="宋体" w:cs="宋体"/>
          <w:color w:val="auto"/>
          <w:szCs w:val="21"/>
          <w:highlight w:val="none"/>
        </w:rPr>
        <w:t>。</w:t>
      </w:r>
    </w:p>
    <w:p w14:paraId="5BF7D65E">
      <w:pPr>
        <w:spacing w:line="480" w:lineRule="exact"/>
        <w:ind w:firstLine="420" w:firstLineChars="200"/>
        <w:rPr>
          <w:rFonts w:ascii="宋体" w:hAnsi="宋体" w:cs="宋体"/>
          <w:color w:val="auto"/>
          <w:szCs w:val="21"/>
          <w:highlight w:val="none"/>
        </w:rPr>
      </w:pPr>
      <w:r>
        <w:rPr>
          <w:rFonts w:hint="eastAsia" w:ascii="宋体" w:hAnsi="宋体" w:cs="宋体"/>
          <w:color w:val="auto"/>
          <w:szCs w:val="21"/>
          <w:highlight w:val="none"/>
        </w:rPr>
        <w:t>3.3.3 承包人无正当理由拒绝撤换主要施工管理人员的违约责任：</w:t>
      </w:r>
      <w:r>
        <w:rPr>
          <w:rFonts w:hint="eastAsia" w:ascii="宋体" w:hAnsi="宋体" w:cs="宋体"/>
          <w:color w:val="auto"/>
          <w:highlight w:val="none"/>
          <w:u w:val="single"/>
        </w:rPr>
        <w:t>视为承包人违约、发包人有权对承包人收取违约金或解除合同</w:t>
      </w:r>
      <w:r>
        <w:rPr>
          <w:rFonts w:hint="eastAsia" w:ascii="宋体" w:hAnsi="宋体" w:cs="宋体"/>
          <w:color w:val="auto"/>
          <w:szCs w:val="21"/>
          <w:highlight w:val="none"/>
        </w:rPr>
        <w:t>。</w:t>
      </w:r>
    </w:p>
    <w:p w14:paraId="182047C4">
      <w:pPr>
        <w:spacing w:line="480" w:lineRule="exact"/>
        <w:ind w:firstLine="420" w:firstLineChars="200"/>
        <w:rPr>
          <w:rFonts w:ascii="宋体" w:hAnsi="宋体" w:cs="宋体"/>
          <w:color w:val="auto"/>
          <w:szCs w:val="21"/>
          <w:highlight w:val="none"/>
          <w:u w:val="single"/>
        </w:rPr>
      </w:pPr>
      <w:r>
        <w:rPr>
          <w:rFonts w:hint="eastAsia" w:ascii="宋体" w:hAnsi="宋体" w:cs="宋体"/>
          <w:color w:val="auto"/>
          <w:szCs w:val="21"/>
          <w:highlight w:val="none"/>
        </w:rPr>
        <w:t>3.3.4 承包人主要施工管理人员离开施工现场的批准要求：</w:t>
      </w:r>
      <w:r>
        <w:rPr>
          <w:rFonts w:hint="eastAsia" w:ascii="宋体" w:hAnsi="宋体" w:cs="宋体"/>
          <w:color w:val="auto"/>
          <w:szCs w:val="21"/>
          <w:highlight w:val="none"/>
          <w:u w:val="single"/>
        </w:rPr>
        <w:t>每月累计不超过5天</w:t>
      </w:r>
      <w:r>
        <w:rPr>
          <w:rFonts w:hint="eastAsia" w:ascii="宋体" w:hAnsi="宋体" w:cs="宋体"/>
          <w:color w:val="auto"/>
          <w:szCs w:val="21"/>
          <w:highlight w:val="none"/>
        </w:rPr>
        <w:t>。</w:t>
      </w:r>
    </w:p>
    <w:p w14:paraId="3D8F72C9">
      <w:pPr>
        <w:spacing w:line="480" w:lineRule="exact"/>
        <w:ind w:firstLine="420" w:firstLineChars="200"/>
        <w:rPr>
          <w:rFonts w:ascii="宋体" w:hAnsi="宋体" w:cs="宋体"/>
          <w:color w:val="auto"/>
          <w:szCs w:val="21"/>
          <w:highlight w:val="none"/>
        </w:rPr>
      </w:pPr>
      <w:r>
        <w:rPr>
          <w:rFonts w:hint="eastAsia" w:ascii="宋体" w:hAnsi="宋体" w:cs="宋体"/>
          <w:color w:val="auto"/>
          <w:szCs w:val="21"/>
          <w:highlight w:val="none"/>
        </w:rPr>
        <w:t>3.3.5承包人擅自更换主要施工管理人员的违约责任：</w:t>
      </w:r>
      <w:r>
        <w:rPr>
          <w:rFonts w:hint="eastAsia" w:ascii="宋体" w:hAnsi="宋体" w:cs="宋体"/>
          <w:color w:val="auto"/>
          <w:highlight w:val="none"/>
          <w:u w:val="single"/>
        </w:rPr>
        <w:t>视为承包人违约、发包人有权对承包人收取违约金或解除合同</w:t>
      </w:r>
      <w:r>
        <w:rPr>
          <w:rFonts w:hint="eastAsia" w:ascii="宋体" w:hAnsi="宋体" w:cs="宋体"/>
          <w:color w:val="auto"/>
          <w:szCs w:val="21"/>
          <w:highlight w:val="none"/>
        </w:rPr>
        <w:t>。</w:t>
      </w:r>
    </w:p>
    <w:p w14:paraId="614C5FAF">
      <w:pPr>
        <w:spacing w:line="480" w:lineRule="exact"/>
        <w:ind w:firstLine="420" w:firstLineChars="200"/>
        <w:rPr>
          <w:rFonts w:ascii="宋体" w:hAnsi="宋体" w:cs="宋体"/>
          <w:color w:val="auto"/>
          <w:szCs w:val="21"/>
          <w:highlight w:val="none"/>
        </w:rPr>
      </w:pPr>
      <w:r>
        <w:rPr>
          <w:rFonts w:hint="eastAsia" w:ascii="宋体" w:hAnsi="宋体" w:cs="宋体"/>
          <w:color w:val="auto"/>
          <w:szCs w:val="21"/>
          <w:highlight w:val="none"/>
        </w:rPr>
        <w:t>承包人主要施工管理人员擅自离开施工现场的违约责任：</w:t>
      </w:r>
      <w:r>
        <w:rPr>
          <w:rFonts w:hint="eastAsia" w:ascii="宋体" w:hAnsi="宋体" w:cs="宋体"/>
          <w:color w:val="auto"/>
          <w:highlight w:val="none"/>
          <w:u w:val="single"/>
        </w:rPr>
        <w:t>视为承包人违约、发包人有权对承包人收取违约金或解除合同</w:t>
      </w:r>
      <w:r>
        <w:rPr>
          <w:rFonts w:hint="eastAsia" w:ascii="宋体" w:hAnsi="宋体" w:cs="宋体"/>
          <w:color w:val="auto"/>
          <w:szCs w:val="21"/>
          <w:highlight w:val="none"/>
        </w:rPr>
        <w:t>。</w:t>
      </w:r>
    </w:p>
    <w:p w14:paraId="196E007A">
      <w:pPr>
        <w:spacing w:line="480" w:lineRule="exact"/>
        <w:ind w:firstLine="420" w:firstLineChars="200"/>
        <w:rPr>
          <w:rFonts w:ascii="宋体" w:hAnsi="宋体" w:cs="宋体"/>
          <w:color w:val="auto"/>
          <w:szCs w:val="21"/>
          <w:highlight w:val="none"/>
        </w:rPr>
      </w:pPr>
      <w:r>
        <w:rPr>
          <w:rFonts w:hint="eastAsia" w:ascii="宋体" w:hAnsi="宋体" w:cs="宋体"/>
          <w:color w:val="auto"/>
          <w:szCs w:val="21"/>
          <w:highlight w:val="none"/>
        </w:rPr>
        <w:t>3</w:t>
      </w:r>
      <w:bookmarkStart w:id="890" w:name="_Toc297120459"/>
      <w:bookmarkStart w:id="891" w:name="_Toc296891199"/>
      <w:bookmarkStart w:id="892" w:name="_Toc303539102"/>
      <w:bookmarkStart w:id="893" w:name="_Toc296347158"/>
      <w:bookmarkStart w:id="894" w:name="_Toc296944498"/>
      <w:bookmarkStart w:id="895" w:name="_Toc297123492"/>
      <w:bookmarkStart w:id="896" w:name="_Toc296890987"/>
      <w:bookmarkStart w:id="897" w:name="_Toc296503159"/>
      <w:bookmarkStart w:id="898" w:name="_Toc297048345"/>
      <w:bookmarkStart w:id="899" w:name="_Toc292559869"/>
      <w:bookmarkStart w:id="900" w:name="_Toc292559364"/>
      <w:bookmarkStart w:id="901" w:name="_Toc312677988"/>
      <w:bookmarkStart w:id="902" w:name="_Toc297216151"/>
      <w:bookmarkStart w:id="903" w:name="_Toc300934945"/>
      <w:bookmarkStart w:id="904" w:name="_Toc304295523"/>
      <w:bookmarkStart w:id="905" w:name="_Toc296346660"/>
      <w:r>
        <w:rPr>
          <w:rFonts w:hint="eastAsia" w:ascii="宋体" w:hAnsi="宋体" w:cs="宋体"/>
          <w:color w:val="auto"/>
          <w:szCs w:val="21"/>
          <w:highlight w:val="none"/>
        </w:rPr>
        <w:t>.5 分包</w:t>
      </w:r>
    </w:p>
    <w:bookmarkEnd w:id="890"/>
    <w:bookmarkEnd w:id="891"/>
    <w:bookmarkEnd w:id="892"/>
    <w:bookmarkEnd w:id="893"/>
    <w:bookmarkEnd w:id="894"/>
    <w:bookmarkEnd w:id="895"/>
    <w:bookmarkEnd w:id="896"/>
    <w:bookmarkEnd w:id="897"/>
    <w:bookmarkEnd w:id="898"/>
    <w:bookmarkEnd w:id="899"/>
    <w:bookmarkEnd w:id="900"/>
    <w:bookmarkEnd w:id="901"/>
    <w:bookmarkEnd w:id="902"/>
    <w:bookmarkEnd w:id="903"/>
    <w:bookmarkEnd w:id="904"/>
    <w:bookmarkEnd w:id="905"/>
    <w:p w14:paraId="15B7A31E">
      <w:pPr>
        <w:spacing w:line="480" w:lineRule="exact"/>
        <w:ind w:firstLine="420" w:firstLineChars="200"/>
        <w:rPr>
          <w:rFonts w:ascii="宋体" w:hAnsi="宋体" w:cs="宋体"/>
          <w:color w:val="auto"/>
          <w:szCs w:val="21"/>
          <w:highlight w:val="none"/>
        </w:rPr>
      </w:pPr>
      <w:r>
        <w:rPr>
          <w:rFonts w:hint="eastAsia" w:ascii="宋体" w:hAnsi="宋体" w:cs="宋体"/>
          <w:color w:val="auto"/>
          <w:szCs w:val="21"/>
          <w:highlight w:val="none"/>
        </w:rPr>
        <w:t>3</w:t>
      </w:r>
      <w:bookmarkStart w:id="906" w:name="_Toc304295524"/>
      <w:bookmarkStart w:id="907" w:name="_Toc296347159"/>
      <w:bookmarkStart w:id="908" w:name="_Toc297048346"/>
      <w:bookmarkStart w:id="909" w:name="_Toc296346661"/>
      <w:bookmarkStart w:id="910" w:name="_Toc297123493"/>
      <w:bookmarkStart w:id="911" w:name="_Toc300934946"/>
      <w:bookmarkStart w:id="912" w:name="_Toc303539103"/>
      <w:bookmarkStart w:id="913" w:name="_Toc292559870"/>
      <w:bookmarkStart w:id="914" w:name="_Toc296891200"/>
      <w:bookmarkStart w:id="915" w:name="_Toc296890988"/>
      <w:bookmarkStart w:id="916" w:name="_Toc296503160"/>
      <w:bookmarkStart w:id="917" w:name="_Toc297120460"/>
      <w:bookmarkStart w:id="918" w:name="_Toc297216152"/>
      <w:bookmarkStart w:id="919" w:name="_Toc292559365"/>
      <w:bookmarkStart w:id="920" w:name="_Toc296944499"/>
      <w:bookmarkStart w:id="921" w:name="_Toc312677989"/>
      <w:bookmarkStart w:id="922" w:name="_Toc318581158"/>
      <w:r>
        <w:rPr>
          <w:rFonts w:hint="eastAsia" w:ascii="宋体" w:hAnsi="宋体" w:cs="宋体"/>
          <w:color w:val="auto"/>
          <w:szCs w:val="21"/>
          <w:highlight w:val="none"/>
        </w:rPr>
        <w:t>.5.1 分包的一般约定</w:t>
      </w:r>
    </w:p>
    <w:p w14:paraId="247AE05C">
      <w:pPr>
        <w:spacing w:line="480" w:lineRule="exact"/>
        <w:ind w:firstLine="420" w:firstLineChars="200"/>
        <w:jc w:val="left"/>
        <w:rPr>
          <w:rFonts w:ascii="宋体" w:hAnsi="宋体" w:cs="宋体"/>
          <w:color w:val="auto"/>
          <w:szCs w:val="21"/>
          <w:highlight w:val="none"/>
        </w:rPr>
      </w:pPr>
      <w:r>
        <w:rPr>
          <w:rFonts w:hint="eastAsia" w:ascii="宋体" w:hAnsi="宋体" w:cs="宋体"/>
          <w:color w:val="auto"/>
          <w:szCs w:val="21"/>
          <w:highlight w:val="none"/>
        </w:rPr>
        <w:t>禁止分包的工程包括：</w:t>
      </w:r>
      <w:r>
        <w:rPr>
          <w:rFonts w:hint="eastAsia" w:ascii="宋体" w:hAnsi="宋体" w:cs="宋体"/>
          <w:color w:val="auto"/>
          <w:szCs w:val="21"/>
          <w:highlight w:val="none"/>
          <w:u w:val="single"/>
        </w:rPr>
        <w:t xml:space="preserve"> 不允许分包</w:t>
      </w:r>
      <w:r>
        <w:rPr>
          <w:rFonts w:hint="eastAsia" w:ascii="宋体" w:hAnsi="宋体" w:cs="宋体"/>
          <w:color w:val="auto"/>
          <w:szCs w:val="21"/>
          <w:highlight w:val="none"/>
        </w:rPr>
        <w:t>。</w:t>
      </w:r>
    </w:p>
    <w:p w14:paraId="1E2F337A">
      <w:pPr>
        <w:spacing w:line="480" w:lineRule="exact"/>
        <w:ind w:firstLine="420" w:firstLineChars="200"/>
        <w:jc w:val="left"/>
        <w:rPr>
          <w:rFonts w:ascii="宋体" w:hAnsi="宋体" w:cs="宋体"/>
          <w:color w:val="auto"/>
          <w:szCs w:val="21"/>
          <w:highlight w:val="none"/>
          <w:u w:val="single"/>
        </w:rPr>
      </w:pPr>
      <w:r>
        <w:rPr>
          <w:rFonts w:hint="eastAsia" w:ascii="宋体" w:hAnsi="宋体" w:cs="宋体"/>
          <w:color w:val="auto"/>
          <w:szCs w:val="21"/>
          <w:highlight w:val="none"/>
        </w:rPr>
        <w:t>主体结构、关键性工作的范围：</w:t>
      </w:r>
      <w:r>
        <w:rPr>
          <w:rFonts w:hint="eastAsia" w:ascii="宋体" w:hAnsi="宋体" w:cs="宋体"/>
          <w:color w:val="auto"/>
          <w:szCs w:val="21"/>
          <w:highlight w:val="none"/>
          <w:u w:val="single"/>
        </w:rPr>
        <w:t xml:space="preserve"> 不允许分包   </w:t>
      </w:r>
      <w:r>
        <w:rPr>
          <w:rFonts w:hint="eastAsia" w:ascii="宋体" w:hAnsi="宋体" w:cs="宋体"/>
          <w:color w:val="auto"/>
          <w:szCs w:val="21"/>
          <w:highlight w:val="none"/>
        </w:rPr>
        <w:t>。</w:t>
      </w:r>
      <w:bookmarkEnd w:id="906"/>
      <w:bookmarkEnd w:id="907"/>
      <w:bookmarkEnd w:id="908"/>
      <w:bookmarkEnd w:id="909"/>
      <w:bookmarkEnd w:id="910"/>
      <w:bookmarkEnd w:id="911"/>
      <w:bookmarkEnd w:id="912"/>
      <w:bookmarkEnd w:id="913"/>
      <w:bookmarkEnd w:id="914"/>
      <w:bookmarkEnd w:id="915"/>
      <w:bookmarkEnd w:id="916"/>
      <w:bookmarkEnd w:id="917"/>
      <w:bookmarkEnd w:id="918"/>
      <w:bookmarkEnd w:id="919"/>
      <w:bookmarkEnd w:id="920"/>
      <w:bookmarkStart w:id="923" w:name="_Toc296944500"/>
      <w:bookmarkStart w:id="924" w:name="_Toc300934947"/>
      <w:bookmarkStart w:id="925" w:name="_Toc296346662"/>
      <w:bookmarkStart w:id="926" w:name="_Toc297216153"/>
      <w:bookmarkStart w:id="927" w:name="_Toc297048347"/>
      <w:bookmarkStart w:id="928" w:name="_Toc303539104"/>
      <w:bookmarkStart w:id="929" w:name="_Toc297123494"/>
      <w:bookmarkStart w:id="930" w:name="_Toc296503161"/>
      <w:bookmarkStart w:id="931" w:name="_Toc304295525"/>
      <w:bookmarkStart w:id="932" w:name="_Toc296347160"/>
      <w:bookmarkStart w:id="933" w:name="_Toc296891201"/>
      <w:bookmarkStart w:id="934" w:name="_Toc297120461"/>
      <w:bookmarkStart w:id="935" w:name="_Toc296890989"/>
    </w:p>
    <w:bookmarkEnd w:id="921"/>
    <w:bookmarkEnd w:id="922"/>
    <w:bookmarkEnd w:id="923"/>
    <w:bookmarkEnd w:id="924"/>
    <w:bookmarkEnd w:id="925"/>
    <w:bookmarkEnd w:id="926"/>
    <w:bookmarkEnd w:id="927"/>
    <w:bookmarkEnd w:id="928"/>
    <w:bookmarkEnd w:id="929"/>
    <w:bookmarkEnd w:id="930"/>
    <w:bookmarkEnd w:id="931"/>
    <w:bookmarkEnd w:id="932"/>
    <w:bookmarkEnd w:id="933"/>
    <w:bookmarkEnd w:id="934"/>
    <w:bookmarkEnd w:id="935"/>
    <w:p w14:paraId="46AA52B3">
      <w:pPr>
        <w:spacing w:line="480" w:lineRule="exact"/>
        <w:rPr>
          <w:rFonts w:ascii="宋体" w:hAnsi="宋体" w:cs="宋体"/>
          <w:color w:val="auto"/>
          <w:szCs w:val="21"/>
          <w:highlight w:val="none"/>
        </w:rPr>
      </w:pPr>
      <w:r>
        <w:rPr>
          <w:rFonts w:hint="eastAsia" w:ascii="宋体" w:hAnsi="宋体" w:cs="宋体"/>
          <w:color w:val="auto"/>
          <w:szCs w:val="21"/>
          <w:highlight w:val="none"/>
        </w:rPr>
        <w:t xml:space="preserve">    3</w:t>
      </w:r>
      <w:bookmarkStart w:id="936" w:name="_Toc312677990"/>
      <w:bookmarkStart w:id="937" w:name="_Toc318581159"/>
      <w:r>
        <w:rPr>
          <w:rFonts w:hint="eastAsia" w:ascii="宋体" w:hAnsi="宋体" w:cs="宋体"/>
          <w:color w:val="auto"/>
          <w:szCs w:val="21"/>
          <w:highlight w:val="none"/>
        </w:rPr>
        <w:t>.5.2分包的确定</w:t>
      </w:r>
    </w:p>
    <w:p w14:paraId="2381D0AE">
      <w:pPr>
        <w:spacing w:line="480" w:lineRule="exact"/>
        <w:ind w:firstLine="420" w:firstLineChars="200"/>
        <w:rPr>
          <w:rFonts w:ascii="宋体" w:hAnsi="宋体" w:cs="宋体"/>
          <w:color w:val="auto"/>
          <w:szCs w:val="21"/>
          <w:highlight w:val="none"/>
          <w:u w:val="single"/>
        </w:rPr>
      </w:pPr>
      <w:r>
        <w:rPr>
          <w:rFonts w:hint="eastAsia" w:ascii="宋体" w:hAnsi="宋体" w:cs="宋体"/>
          <w:color w:val="auto"/>
          <w:szCs w:val="21"/>
          <w:highlight w:val="none"/>
        </w:rPr>
        <w:t>允许分包的专业工程包括：</w:t>
      </w:r>
      <w:r>
        <w:rPr>
          <w:rFonts w:hint="eastAsia" w:ascii="宋体" w:hAnsi="宋体" w:cs="宋体"/>
          <w:color w:val="auto"/>
          <w:szCs w:val="21"/>
          <w:highlight w:val="none"/>
          <w:u w:val="single"/>
        </w:rPr>
        <w:t xml:space="preserve">                     </w:t>
      </w:r>
      <w:r>
        <w:rPr>
          <w:rFonts w:hint="eastAsia" w:ascii="宋体" w:hAnsi="宋体" w:cs="宋体"/>
          <w:color w:val="auto"/>
          <w:szCs w:val="21"/>
          <w:highlight w:val="none"/>
        </w:rPr>
        <w:t>。</w:t>
      </w:r>
    </w:p>
    <w:p w14:paraId="38438BDA">
      <w:pPr>
        <w:spacing w:line="480" w:lineRule="exact"/>
        <w:ind w:firstLine="420" w:firstLineChars="200"/>
        <w:rPr>
          <w:rFonts w:ascii="宋体" w:hAnsi="宋体" w:cs="宋体"/>
          <w:color w:val="auto"/>
          <w:szCs w:val="21"/>
          <w:highlight w:val="none"/>
          <w:u w:val="single"/>
        </w:rPr>
      </w:pPr>
      <w:r>
        <w:rPr>
          <w:rFonts w:hint="eastAsia" w:ascii="宋体" w:hAnsi="宋体" w:cs="宋体"/>
          <w:color w:val="auto"/>
          <w:szCs w:val="21"/>
          <w:highlight w:val="none"/>
        </w:rPr>
        <w:t>其他关于分包的约定：</w:t>
      </w:r>
      <w:r>
        <w:rPr>
          <w:rFonts w:hint="eastAsia" w:ascii="宋体" w:hAnsi="宋体" w:cs="宋体"/>
          <w:color w:val="auto"/>
          <w:szCs w:val="21"/>
          <w:highlight w:val="none"/>
          <w:u w:val="single"/>
        </w:rPr>
        <w:t xml:space="preserve">                                </w:t>
      </w:r>
      <w:r>
        <w:rPr>
          <w:rFonts w:hint="eastAsia" w:ascii="宋体" w:hAnsi="宋体" w:cs="宋体"/>
          <w:color w:val="auto"/>
          <w:szCs w:val="21"/>
          <w:highlight w:val="none"/>
        </w:rPr>
        <w:t>。</w:t>
      </w:r>
    </w:p>
    <w:p w14:paraId="2D391E60">
      <w:pPr>
        <w:spacing w:line="480" w:lineRule="exact"/>
        <w:ind w:firstLine="420" w:firstLineChars="200"/>
        <w:rPr>
          <w:rFonts w:ascii="宋体" w:hAnsi="宋体" w:cs="宋体"/>
          <w:color w:val="auto"/>
          <w:szCs w:val="21"/>
          <w:highlight w:val="none"/>
        </w:rPr>
      </w:pPr>
      <w:r>
        <w:rPr>
          <w:rFonts w:hint="eastAsia" w:ascii="宋体" w:hAnsi="宋体" w:cs="宋体"/>
          <w:color w:val="auto"/>
          <w:szCs w:val="21"/>
          <w:highlight w:val="none"/>
        </w:rPr>
        <w:t>3.5.4 分包合同价款</w:t>
      </w:r>
    </w:p>
    <w:p w14:paraId="6FB559B4">
      <w:pPr>
        <w:spacing w:line="480" w:lineRule="exact"/>
        <w:ind w:firstLine="420" w:firstLineChars="200"/>
        <w:rPr>
          <w:rFonts w:ascii="宋体" w:hAnsi="宋体" w:cs="宋体"/>
          <w:color w:val="auto"/>
          <w:szCs w:val="21"/>
          <w:highlight w:val="none"/>
        </w:rPr>
      </w:pPr>
      <w:r>
        <w:rPr>
          <w:rFonts w:hint="eastAsia" w:ascii="宋体" w:hAnsi="宋体" w:cs="宋体"/>
          <w:color w:val="auto"/>
          <w:szCs w:val="21"/>
          <w:highlight w:val="none"/>
        </w:rPr>
        <w:t>关于分包合同价款支付的约定：</w:t>
      </w:r>
      <w:r>
        <w:rPr>
          <w:rFonts w:hint="eastAsia" w:ascii="宋体" w:hAnsi="宋体" w:cs="宋体"/>
          <w:color w:val="auto"/>
          <w:szCs w:val="21"/>
          <w:highlight w:val="none"/>
          <w:u w:val="single"/>
        </w:rPr>
        <w:t xml:space="preserve">                       </w:t>
      </w:r>
      <w:r>
        <w:rPr>
          <w:rFonts w:hint="eastAsia" w:ascii="宋体" w:hAnsi="宋体" w:cs="宋体"/>
          <w:color w:val="auto"/>
          <w:szCs w:val="21"/>
          <w:highlight w:val="none"/>
        </w:rPr>
        <w:t>。</w:t>
      </w:r>
    </w:p>
    <w:bookmarkEnd w:id="936"/>
    <w:bookmarkEnd w:id="937"/>
    <w:p w14:paraId="1F8DC81D">
      <w:pPr>
        <w:spacing w:line="480" w:lineRule="exact"/>
        <w:ind w:firstLine="420" w:firstLineChars="200"/>
        <w:rPr>
          <w:rFonts w:ascii="宋体" w:hAnsi="宋体" w:cs="宋体"/>
          <w:color w:val="auto"/>
          <w:szCs w:val="21"/>
          <w:highlight w:val="none"/>
        </w:rPr>
      </w:pPr>
      <w:r>
        <w:rPr>
          <w:rFonts w:hint="eastAsia" w:ascii="宋体" w:hAnsi="宋体" w:cs="宋体"/>
          <w:color w:val="auto"/>
          <w:szCs w:val="21"/>
          <w:highlight w:val="none"/>
        </w:rPr>
        <w:t>3.6 工程照管与成品、半成品保护</w:t>
      </w:r>
    </w:p>
    <w:p w14:paraId="0E7368F0">
      <w:pPr>
        <w:spacing w:line="480" w:lineRule="exact"/>
        <w:ind w:firstLine="420" w:firstLineChars="200"/>
        <w:rPr>
          <w:rFonts w:ascii="宋体" w:hAnsi="宋体" w:cs="宋体"/>
          <w:color w:val="auto"/>
          <w:kern w:val="0"/>
          <w:szCs w:val="21"/>
          <w:highlight w:val="none"/>
          <w:u w:val="single"/>
        </w:rPr>
      </w:pPr>
      <w:r>
        <w:rPr>
          <w:rFonts w:hint="eastAsia" w:ascii="宋体" w:hAnsi="宋体" w:cs="宋体"/>
          <w:color w:val="auto"/>
          <w:kern w:val="0"/>
          <w:szCs w:val="21"/>
          <w:highlight w:val="none"/>
        </w:rPr>
        <w:t>承包人负责照管工程及工程相关的材料、工程设备的起始时间：</w:t>
      </w:r>
      <w:r>
        <w:rPr>
          <w:rFonts w:hint="eastAsia" w:ascii="宋体" w:hAnsi="宋体" w:cs="宋体"/>
          <w:color w:val="auto"/>
          <w:kern w:val="0"/>
          <w:szCs w:val="21"/>
          <w:highlight w:val="none"/>
          <w:u w:val="single"/>
        </w:rPr>
        <w:t xml:space="preserve"> 开工之日至工程竣工交付之日</w:t>
      </w:r>
      <w:r>
        <w:rPr>
          <w:rFonts w:hint="eastAsia" w:ascii="宋体" w:hAnsi="宋体" w:cs="宋体"/>
          <w:color w:val="auto"/>
          <w:kern w:val="0"/>
          <w:szCs w:val="21"/>
          <w:highlight w:val="none"/>
        </w:rPr>
        <w:t>。</w:t>
      </w:r>
    </w:p>
    <w:p w14:paraId="4DA8F4EE">
      <w:pPr>
        <w:spacing w:line="480" w:lineRule="exact"/>
        <w:ind w:firstLine="420" w:firstLineChars="200"/>
        <w:rPr>
          <w:rFonts w:ascii="宋体" w:hAnsi="宋体" w:cs="宋体"/>
          <w:color w:val="auto"/>
          <w:szCs w:val="21"/>
          <w:highlight w:val="none"/>
        </w:rPr>
      </w:pPr>
      <w:r>
        <w:rPr>
          <w:rFonts w:hint="eastAsia" w:ascii="宋体" w:hAnsi="宋体" w:cs="宋体"/>
          <w:color w:val="auto"/>
          <w:szCs w:val="21"/>
          <w:highlight w:val="none"/>
        </w:rPr>
        <w:t>3.7 履约担保</w:t>
      </w:r>
    </w:p>
    <w:p w14:paraId="07E827D6">
      <w:pPr>
        <w:spacing w:line="360" w:lineRule="auto"/>
        <w:ind w:firstLine="420" w:firstLineChars="200"/>
        <w:jc w:val="left"/>
        <w:rPr>
          <w:rFonts w:ascii="宋体" w:hAnsi="宋体"/>
          <w:color w:val="auto"/>
          <w:szCs w:val="21"/>
          <w:highlight w:val="none"/>
        </w:rPr>
      </w:pPr>
      <w:bookmarkStart w:id="938" w:name="_Toc351203636"/>
      <w:r>
        <w:rPr>
          <w:rFonts w:hint="eastAsia" w:ascii="宋体" w:hAnsi="宋体"/>
          <w:color w:val="auto"/>
          <w:szCs w:val="21"/>
          <w:highlight w:val="none"/>
        </w:rPr>
        <w:t>3.7.1承包人是否提供履约担保：</w:t>
      </w:r>
      <w:r>
        <w:rPr>
          <w:rFonts w:hint="eastAsia" w:ascii="宋体" w:hAnsi="宋体"/>
          <w:color w:val="auto"/>
          <w:szCs w:val="21"/>
          <w:highlight w:val="none"/>
          <w:u w:val="single"/>
        </w:rPr>
        <w:t>提供</w:t>
      </w:r>
      <w:r>
        <w:rPr>
          <w:rFonts w:hint="eastAsia" w:ascii="宋体" w:hAnsi="宋体"/>
          <w:color w:val="auto"/>
          <w:szCs w:val="21"/>
          <w:highlight w:val="none"/>
        </w:rPr>
        <w:t>。</w:t>
      </w:r>
    </w:p>
    <w:p w14:paraId="41B82A90">
      <w:pPr>
        <w:spacing w:line="360" w:lineRule="auto"/>
        <w:ind w:firstLine="420" w:firstLineChars="200"/>
        <w:jc w:val="left"/>
        <w:rPr>
          <w:rFonts w:ascii="宋体" w:hAnsi="宋体"/>
          <w:color w:val="auto"/>
          <w:szCs w:val="21"/>
          <w:highlight w:val="none"/>
        </w:rPr>
      </w:pPr>
      <w:r>
        <w:rPr>
          <w:rFonts w:hint="eastAsia" w:ascii="宋体" w:hAnsi="宋体"/>
          <w:color w:val="auto"/>
          <w:szCs w:val="21"/>
          <w:highlight w:val="none"/>
        </w:rPr>
        <w:t>3.7.2承包人提供履约担保的形式、金额及期限：</w:t>
      </w:r>
    </w:p>
    <w:p w14:paraId="28DA4E9D">
      <w:pPr>
        <w:snapToGrid w:val="0"/>
        <w:spacing w:line="400" w:lineRule="exact"/>
        <w:ind w:firstLine="420" w:firstLineChars="200"/>
        <w:rPr>
          <w:color w:val="auto"/>
          <w:highlight w:val="none"/>
        </w:rPr>
      </w:pPr>
      <w:r>
        <w:rPr>
          <w:rFonts w:hint="eastAsia"/>
          <w:color w:val="auto"/>
          <w:highlight w:val="none"/>
        </w:rPr>
        <w:t>（1）中标人是否提供履约担保：提供。</w:t>
      </w:r>
    </w:p>
    <w:p w14:paraId="556CCE80">
      <w:pPr>
        <w:snapToGrid w:val="0"/>
        <w:spacing w:line="400" w:lineRule="exact"/>
        <w:ind w:firstLine="420" w:firstLineChars="200"/>
        <w:rPr>
          <w:color w:val="auto"/>
          <w:highlight w:val="none"/>
        </w:rPr>
      </w:pPr>
      <w:r>
        <w:rPr>
          <w:rFonts w:hint="eastAsia"/>
          <w:color w:val="auto"/>
          <w:highlight w:val="none"/>
        </w:rPr>
        <w:t>（2）中标人提供履约担保的形式、金额及期限：</w:t>
      </w:r>
    </w:p>
    <w:p w14:paraId="7F8D2DA9">
      <w:pPr>
        <w:snapToGrid w:val="0"/>
        <w:spacing w:line="400" w:lineRule="exact"/>
        <w:ind w:firstLine="420" w:firstLineChars="200"/>
        <w:rPr>
          <w:color w:val="auto"/>
          <w:highlight w:val="none"/>
        </w:rPr>
      </w:pPr>
      <w:r>
        <w:rPr>
          <w:rFonts w:hint="eastAsia"/>
          <w:color w:val="auto"/>
          <w:highlight w:val="none"/>
        </w:rPr>
        <w:t>1）履约担保的形式：现金或银行保函或现金+银行保函的组合； 采用银行保函形式的，银行保函必须为无条件、不可撤销且见索即付；</w:t>
      </w:r>
    </w:p>
    <w:p w14:paraId="6DA6BFDF">
      <w:pPr>
        <w:snapToGrid w:val="0"/>
        <w:spacing w:line="400" w:lineRule="exact"/>
        <w:ind w:firstLine="420" w:firstLineChars="200"/>
        <w:rPr>
          <w:color w:val="auto"/>
          <w:highlight w:val="none"/>
        </w:rPr>
      </w:pPr>
      <w:r>
        <w:rPr>
          <w:rFonts w:hint="eastAsia"/>
          <w:color w:val="auto"/>
          <w:highlight w:val="none"/>
        </w:rPr>
        <w:t>2）履约担保的金额：中标价款的10% ；</w:t>
      </w:r>
    </w:p>
    <w:p w14:paraId="44513E42">
      <w:pPr>
        <w:snapToGrid w:val="0"/>
        <w:spacing w:line="400" w:lineRule="exact"/>
        <w:ind w:firstLine="420" w:firstLineChars="200"/>
        <w:rPr>
          <w:color w:val="auto"/>
          <w:highlight w:val="none"/>
        </w:rPr>
      </w:pPr>
      <w:r>
        <w:rPr>
          <w:rFonts w:hint="eastAsia"/>
          <w:color w:val="auto"/>
          <w:highlight w:val="none"/>
        </w:rPr>
        <w:t>3）履约担保的提交时间：自中标候选人公示期结束后</w:t>
      </w:r>
      <w:r>
        <w:rPr>
          <w:rFonts w:hint="eastAsia"/>
          <w:color w:val="auto"/>
          <w:highlight w:val="none"/>
          <w:u w:val="single"/>
        </w:rPr>
        <w:t xml:space="preserve"> 10 </w:t>
      </w:r>
      <w:r>
        <w:rPr>
          <w:rFonts w:hint="eastAsia"/>
          <w:color w:val="auto"/>
          <w:highlight w:val="none"/>
        </w:rPr>
        <w:t>个工作日内，承包人按担保金额向发包人提交履约担保。</w:t>
      </w:r>
    </w:p>
    <w:p w14:paraId="73E32B23">
      <w:pPr>
        <w:snapToGrid w:val="0"/>
        <w:spacing w:line="400" w:lineRule="exact"/>
        <w:ind w:firstLine="420" w:firstLineChars="200"/>
        <w:rPr>
          <w:color w:val="auto"/>
          <w:highlight w:val="none"/>
        </w:rPr>
      </w:pPr>
      <w:r>
        <w:rPr>
          <w:rFonts w:hint="eastAsia"/>
          <w:color w:val="auto"/>
          <w:highlight w:val="none"/>
        </w:rPr>
        <w:t>4）履约担保的期限：自提交履约担保之日起至竣工验收合格之日止。</w:t>
      </w:r>
    </w:p>
    <w:p w14:paraId="49049F2B">
      <w:pPr>
        <w:snapToGrid w:val="0"/>
        <w:spacing w:line="400" w:lineRule="exact"/>
        <w:ind w:firstLine="420" w:firstLineChars="200"/>
        <w:rPr>
          <w:color w:val="auto"/>
          <w:highlight w:val="none"/>
        </w:rPr>
      </w:pPr>
      <w:r>
        <w:rPr>
          <w:rFonts w:hint="eastAsia"/>
          <w:color w:val="auto"/>
          <w:highlight w:val="none"/>
        </w:rPr>
        <w:t>5）履约担保的退还时间：</w:t>
      </w:r>
      <w:bookmarkStart w:id="939" w:name="OLE_LINK37"/>
      <w:bookmarkStart w:id="940" w:name="OLE_LINK38"/>
      <w:r>
        <w:rPr>
          <w:rFonts w:hint="eastAsia"/>
          <w:color w:val="auto"/>
          <w:highlight w:val="none"/>
        </w:rPr>
        <w:t>采用现金担保的，工程验收合格后14天内无息退还；</w:t>
      </w:r>
      <w:bookmarkEnd w:id="939"/>
      <w:bookmarkEnd w:id="940"/>
    </w:p>
    <w:p w14:paraId="305E406B">
      <w:pPr>
        <w:pStyle w:val="6"/>
        <w:spacing w:line="480" w:lineRule="exact"/>
        <w:jc w:val="left"/>
        <w:rPr>
          <w:rFonts w:ascii="宋体" w:hAnsi="宋体" w:cs="宋体"/>
          <w:b/>
          <w:color w:val="auto"/>
          <w:szCs w:val="21"/>
          <w:highlight w:val="none"/>
        </w:rPr>
      </w:pPr>
      <w:r>
        <w:rPr>
          <w:rFonts w:hint="eastAsia" w:ascii="宋体" w:hAnsi="宋体" w:cs="宋体"/>
          <w:b/>
          <w:color w:val="auto"/>
          <w:szCs w:val="21"/>
          <w:highlight w:val="none"/>
        </w:rPr>
        <w:t>4</w:t>
      </w:r>
      <w:bookmarkStart w:id="941" w:name="_Toc296346663"/>
      <w:bookmarkStart w:id="942" w:name="_Toc296944501"/>
      <w:bookmarkStart w:id="943" w:name="_Toc296347161"/>
      <w:bookmarkStart w:id="944" w:name="_Toc296890990"/>
      <w:bookmarkStart w:id="945" w:name="_Toc296503162"/>
      <w:bookmarkStart w:id="946" w:name="_Toc292559366"/>
      <w:bookmarkStart w:id="947" w:name="_Toc267251413"/>
      <w:bookmarkStart w:id="948" w:name="_Toc297120462"/>
      <w:bookmarkStart w:id="949" w:name="_Toc292559871"/>
      <w:bookmarkStart w:id="950" w:name="_Toc296891202"/>
      <w:bookmarkStart w:id="951" w:name="_Toc297048348"/>
      <w:r>
        <w:rPr>
          <w:rFonts w:hint="eastAsia" w:ascii="宋体" w:hAnsi="宋体" w:cs="宋体"/>
          <w:b/>
          <w:color w:val="auto"/>
          <w:szCs w:val="21"/>
          <w:highlight w:val="none"/>
        </w:rPr>
        <w:t>. 监</w:t>
      </w:r>
      <w:bookmarkEnd w:id="941"/>
      <w:bookmarkEnd w:id="942"/>
      <w:bookmarkEnd w:id="943"/>
      <w:bookmarkEnd w:id="944"/>
      <w:bookmarkEnd w:id="945"/>
      <w:bookmarkEnd w:id="946"/>
      <w:bookmarkEnd w:id="947"/>
      <w:bookmarkEnd w:id="948"/>
      <w:bookmarkEnd w:id="949"/>
      <w:bookmarkEnd w:id="950"/>
      <w:bookmarkEnd w:id="951"/>
      <w:r>
        <w:rPr>
          <w:rFonts w:hint="eastAsia" w:ascii="宋体" w:hAnsi="宋体" w:cs="宋体"/>
          <w:b/>
          <w:color w:val="auto"/>
          <w:szCs w:val="21"/>
          <w:highlight w:val="none"/>
        </w:rPr>
        <w:t>理人</w:t>
      </w:r>
      <w:bookmarkEnd w:id="938"/>
    </w:p>
    <w:p w14:paraId="1A4D42F9">
      <w:pPr>
        <w:spacing w:line="480" w:lineRule="exact"/>
        <w:ind w:firstLine="420" w:firstLineChars="200"/>
        <w:rPr>
          <w:rFonts w:ascii="宋体" w:hAnsi="宋体" w:cs="宋体"/>
          <w:color w:val="auto"/>
          <w:szCs w:val="21"/>
          <w:highlight w:val="none"/>
        </w:rPr>
      </w:pPr>
      <w:r>
        <w:rPr>
          <w:rFonts w:hint="eastAsia" w:ascii="宋体" w:hAnsi="宋体" w:cs="宋体"/>
          <w:color w:val="auto"/>
          <w:szCs w:val="21"/>
          <w:highlight w:val="none"/>
        </w:rPr>
        <w:t>4.1监理人的一般规定</w:t>
      </w:r>
    </w:p>
    <w:p w14:paraId="1994AD3C">
      <w:pPr>
        <w:spacing w:line="480" w:lineRule="exact"/>
        <w:ind w:firstLine="420" w:firstLineChars="200"/>
        <w:jc w:val="left"/>
        <w:rPr>
          <w:rFonts w:ascii="宋体" w:hAnsi="宋体" w:cs="宋体"/>
          <w:color w:val="auto"/>
          <w:szCs w:val="21"/>
          <w:highlight w:val="none"/>
        </w:rPr>
      </w:pPr>
      <w:r>
        <w:rPr>
          <w:rFonts w:hint="eastAsia" w:ascii="宋体" w:hAnsi="宋体" w:cs="宋体"/>
          <w:color w:val="auto"/>
          <w:szCs w:val="21"/>
          <w:highlight w:val="none"/>
        </w:rPr>
        <w:t>关于监理人的监理内容：</w:t>
      </w:r>
      <w:r>
        <w:rPr>
          <w:rFonts w:hint="eastAsia" w:ascii="宋体" w:hAnsi="宋体" w:cs="宋体"/>
          <w:color w:val="auto"/>
          <w:szCs w:val="21"/>
          <w:highlight w:val="none"/>
          <w:u w:val="single"/>
        </w:rPr>
        <w:t>工程施工阶段监理</w:t>
      </w:r>
      <w:r>
        <w:rPr>
          <w:rFonts w:hint="eastAsia" w:ascii="宋体" w:hAnsi="宋体" w:cs="宋体"/>
          <w:color w:val="auto"/>
          <w:szCs w:val="21"/>
          <w:highlight w:val="none"/>
        </w:rPr>
        <w:t>。</w:t>
      </w:r>
    </w:p>
    <w:p w14:paraId="7095CE91">
      <w:pPr>
        <w:spacing w:line="480" w:lineRule="exact"/>
        <w:jc w:val="left"/>
        <w:rPr>
          <w:rFonts w:ascii="宋体" w:hAnsi="宋体" w:cs="宋体"/>
          <w:color w:val="auto"/>
          <w:szCs w:val="21"/>
          <w:highlight w:val="none"/>
        </w:rPr>
      </w:pPr>
      <w:r>
        <w:rPr>
          <w:rFonts w:hint="eastAsia" w:ascii="宋体" w:hAnsi="宋体" w:cs="宋体"/>
          <w:color w:val="auto"/>
          <w:szCs w:val="21"/>
          <w:highlight w:val="none"/>
        </w:rPr>
        <w:t>关于监理人的监理权限：</w:t>
      </w:r>
      <w:r>
        <w:rPr>
          <w:rFonts w:hint="eastAsia" w:ascii="宋体" w:hAnsi="宋体" w:cs="宋体"/>
          <w:color w:val="auto"/>
          <w:szCs w:val="21"/>
          <w:highlight w:val="none"/>
          <w:u w:val="single"/>
        </w:rPr>
        <w:t xml:space="preserve">代表发包人对工程施工相关事项进行检查、查验、审核、验收，并签发相关指示 </w:t>
      </w:r>
      <w:r>
        <w:rPr>
          <w:rFonts w:hint="eastAsia" w:ascii="宋体" w:hAnsi="宋体" w:cs="宋体"/>
          <w:color w:val="auto"/>
          <w:szCs w:val="21"/>
          <w:highlight w:val="none"/>
        </w:rPr>
        <w:t xml:space="preserve">。 </w:t>
      </w:r>
    </w:p>
    <w:p w14:paraId="40A4E1F7">
      <w:pPr>
        <w:spacing w:line="480" w:lineRule="exact"/>
        <w:rPr>
          <w:rFonts w:ascii="宋体" w:hAnsi="宋体" w:cs="宋体"/>
          <w:color w:val="auto"/>
          <w:szCs w:val="21"/>
          <w:highlight w:val="none"/>
          <w:u w:val="single"/>
        </w:rPr>
      </w:pPr>
      <w:r>
        <w:rPr>
          <w:rFonts w:hint="eastAsia" w:ascii="宋体" w:hAnsi="宋体" w:cs="宋体"/>
          <w:color w:val="auto"/>
          <w:szCs w:val="21"/>
          <w:highlight w:val="none"/>
        </w:rPr>
        <w:t>关于监理人在施工现场的办公场所、生活场所的提供和费用承担的约定：</w:t>
      </w:r>
      <w:bookmarkStart w:id="952" w:name="OLE_LINK39"/>
      <w:r>
        <w:rPr>
          <w:rFonts w:hint="eastAsia" w:ascii="宋体" w:hAnsi="宋体" w:cs="宋体"/>
          <w:color w:val="auto"/>
          <w:szCs w:val="21"/>
          <w:highlight w:val="none"/>
          <w:u w:val="single"/>
        </w:rPr>
        <w:t>由承包人承担</w:t>
      </w:r>
      <w:bookmarkEnd w:id="952"/>
      <w:r>
        <w:rPr>
          <w:rFonts w:hint="eastAsia" w:ascii="宋体" w:hAnsi="宋体" w:cs="宋体"/>
          <w:color w:val="auto"/>
          <w:szCs w:val="21"/>
          <w:highlight w:val="none"/>
        </w:rPr>
        <w:t>。</w:t>
      </w:r>
    </w:p>
    <w:p w14:paraId="418923F2">
      <w:pPr>
        <w:spacing w:line="480" w:lineRule="exact"/>
        <w:ind w:firstLine="420" w:firstLineChars="200"/>
        <w:rPr>
          <w:rFonts w:ascii="宋体" w:hAnsi="宋体" w:cs="宋体"/>
          <w:color w:val="auto"/>
          <w:szCs w:val="21"/>
          <w:highlight w:val="none"/>
        </w:rPr>
      </w:pPr>
      <w:r>
        <w:rPr>
          <w:rFonts w:hint="eastAsia" w:ascii="宋体" w:hAnsi="宋体" w:cs="宋体"/>
          <w:color w:val="auto"/>
          <w:szCs w:val="21"/>
          <w:highlight w:val="none"/>
        </w:rPr>
        <w:t>4.2 监理人员</w:t>
      </w:r>
    </w:p>
    <w:p w14:paraId="35CED845">
      <w:pPr>
        <w:spacing w:line="480" w:lineRule="exact"/>
        <w:ind w:firstLine="420" w:firstLineChars="200"/>
        <w:rPr>
          <w:rFonts w:ascii="宋体" w:hAnsi="宋体" w:cs="宋体"/>
          <w:color w:val="auto"/>
          <w:szCs w:val="21"/>
          <w:highlight w:val="none"/>
        </w:rPr>
      </w:pPr>
      <w:r>
        <w:rPr>
          <w:rFonts w:hint="eastAsia" w:ascii="宋体" w:hAnsi="宋体" w:cs="宋体"/>
          <w:color w:val="auto"/>
          <w:szCs w:val="21"/>
          <w:highlight w:val="none"/>
        </w:rPr>
        <w:t>总监理工程师：</w:t>
      </w:r>
    </w:p>
    <w:p w14:paraId="0E973681">
      <w:pPr>
        <w:spacing w:line="480" w:lineRule="exact"/>
        <w:ind w:firstLine="420" w:firstLineChars="200"/>
        <w:rPr>
          <w:rFonts w:ascii="宋体" w:hAnsi="宋体" w:cs="宋体"/>
          <w:color w:val="auto"/>
          <w:szCs w:val="21"/>
          <w:highlight w:val="none"/>
        </w:rPr>
      </w:pPr>
      <w:r>
        <w:rPr>
          <w:rFonts w:hint="eastAsia" w:ascii="宋体" w:hAnsi="宋体" w:cs="宋体"/>
          <w:color w:val="auto"/>
          <w:szCs w:val="21"/>
          <w:highlight w:val="none"/>
        </w:rPr>
        <w:t>姓    名：</w:t>
      </w:r>
      <w:r>
        <w:rPr>
          <w:rFonts w:hint="eastAsia" w:ascii="宋体" w:hAnsi="宋体" w:cs="宋体"/>
          <w:color w:val="auto"/>
          <w:szCs w:val="21"/>
          <w:highlight w:val="none"/>
          <w:u w:val="single"/>
        </w:rPr>
        <w:t xml:space="preserve">                               </w:t>
      </w:r>
      <w:r>
        <w:rPr>
          <w:rFonts w:hint="eastAsia" w:ascii="宋体" w:hAnsi="宋体" w:cs="宋体"/>
          <w:color w:val="auto"/>
          <w:szCs w:val="21"/>
          <w:highlight w:val="none"/>
        </w:rPr>
        <w:t>；</w:t>
      </w:r>
    </w:p>
    <w:p w14:paraId="69F897E5">
      <w:pPr>
        <w:spacing w:line="480" w:lineRule="exact"/>
        <w:ind w:firstLine="420" w:firstLineChars="200"/>
        <w:rPr>
          <w:rFonts w:ascii="宋体" w:hAnsi="宋体" w:cs="宋体"/>
          <w:color w:val="auto"/>
          <w:szCs w:val="21"/>
          <w:highlight w:val="none"/>
        </w:rPr>
      </w:pPr>
      <w:r>
        <w:rPr>
          <w:rFonts w:hint="eastAsia" w:ascii="宋体" w:hAnsi="宋体" w:cs="宋体"/>
          <w:color w:val="auto"/>
          <w:szCs w:val="21"/>
          <w:highlight w:val="none"/>
        </w:rPr>
        <w:t>职    务：</w:t>
      </w:r>
      <w:r>
        <w:rPr>
          <w:rFonts w:hint="eastAsia" w:ascii="宋体" w:hAnsi="宋体" w:cs="宋体"/>
          <w:color w:val="auto"/>
          <w:szCs w:val="21"/>
          <w:highlight w:val="none"/>
          <w:u w:val="single"/>
        </w:rPr>
        <w:t xml:space="preserve">                               </w:t>
      </w:r>
      <w:r>
        <w:rPr>
          <w:rFonts w:hint="eastAsia" w:ascii="宋体" w:hAnsi="宋体" w:cs="宋体"/>
          <w:color w:val="auto"/>
          <w:szCs w:val="21"/>
          <w:highlight w:val="none"/>
        </w:rPr>
        <w:t>；</w:t>
      </w:r>
    </w:p>
    <w:p w14:paraId="6FB1CBE0">
      <w:pPr>
        <w:spacing w:line="480" w:lineRule="exact"/>
        <w:ind w:firstLine="420" w:firstLineChars="200"/>
        <w:rPr>
          <w:rFonts w:ascii="宋体" w:hAnsi="宋体" w:cs="宋体"/>
          <w:color w:val="auto"/>
          <w:szCs w:val="21"/>
          <w:highlight w:val="none"/>
        </w:rPr>
      </w:pPr>
      <w:r>
        <w:rPr>
          <w:rFonts w:hint="eastAsia" w:ascii="宋体" w:hAnsi="宋体" w:cs="宋体"/>
          <w:color w:val="auto"/>
          <w:szCs w:val="21"/>
          <w:highlight w:val="none"/>
        </w:rPr>
        <w:t>监理工程师执业资格证书号：</w:t>
      </w:r>
      <w:r>
        <w:rPr>
          <w:rFonts w:hint="eastAsia" w:ascii="宋体" w:hAnsi="宋体" w:cs="宋体"/>
          <w:color w:val="auto"/>
          <w:szCs w:val="21"/>
          <w:highlight w:val="none"/>
          <w:u w:val="single"/>
        </w:rPr>
        <w:t xml:space="preserve">               </w:t>
      </w:r>
      <w:r>
        <w:rPr>
          <w:rFonts w:hint="eastAsia" w:ascii="宋体" w:hAnsi="宋体" w:cs="宋体"/>
          <w:color w:val="auto"/>
          <w:szCs w:val="21"/>
          <w:highlight w:val="none"/>
        </w:rPr>
        <w:t>；</w:t>
      </w:r>
    </w:p>
    <w:p w14:paraId="4BE7114E">
      <w:pPr>
        <w:spacing w:line="480" w:lineRule="exact"/>
        <w:ind w:firstLine="420" w:firstLineChars="200"/>
        <w:rPr>
          <w:rFonts w:ascii="宋体" w:hAnsi="宋体" w:cs="宋体"/>
          <w:color w:val="auto"/>
          <w:szCs w:val="21"/>
          <w:highlight w:val="none"/>
        </w:rPr>
      </w:pPr>
      <w:r>
        <w:rPr>
          <w:rFonts w:hint="eastAsia" w:ascii="宋体" w:hAnsi="宋体" w:cs="宋体"/>
          <w:color w:val="auto"/>
          <w:szCs w:val="21"/>
          <w:highlight w:val="none"/>
        </w:rPr>
        <w:t>联系电话：</w:t>
      </w:r>
      <w:r>
        <w:rPr>
          <w:rFonts w:hint="eastAsia" w:ascii="宋体" w:hAnsi="宋体" w:cs="宋体"/>
          <w:color w:val="auto"/>
          <w:szCs w:val="21"/>
          <w:highlight w:val="none"/>
          <w:u w:val="single"/>
        </w:rPr>
        <w:t xml:space="preserve">                               </w:t>
      </w:r>
      <w:r>
        <w:rPr>
          <w:rFonts w:hint="eastAsia" w:ascii="宋体" w:hAnsi="宋体" w:cs="宋体"/>
          <w:color w:val="auto"/>
          <w:szCs w:val="21"/>
          <w:highlight w:val="none"/>
        </w:rPr>
        <w:t>；</w:t>
      </w:r>
    </w:p>
    <w:p w14:paraId="20BF0D6D">
      <w:pPr>
        <w:spacing w:line="480" w:lineRule="exact"/>
        <w:ind w:firstLine="420" w:firstLineChars="200"/>
        <w:rPr>
          <w:rFonts w:ascii="宋体" w:hAnsi="宋体" w:cs="宋体"/>
          <w:color w:val="auto"/>
          <w:szCs w:val="21"/>
          <w:highlight w:val="none"/>
        </w:rPr>
      </w:pPr>
      <w:r>
        <w:rPr>
          <w:rFonts w:hint="eastAsia" w:ascii="宋体" w:hAnsi="宋体" w:cs="宋体"/>
          <w:color w:val="auto"/>
          <w:szCs w:val="21"/>
          <w:highlight w:val="none"/>
        </w:rPr>
        <w:t>电子信箱：</w:t>
      </w:r>
      <w:r>
        <w:rPr>
          <w:rFonts w:hint="eastAsia" w:ascii="宋体" w:hAnsi="宋体" w:cs="宋体"/>
          <w:color w:val="auto"/>
          <w:szCs w:val="21"/>
          <w:highlight w:val="none"/>
          <w:u w:val="single"/>
        </w:rPr>
        <w:t xml:space="preserve">                               </w:t>
      </w:r>
      <w:r>
        <w:rPr>
          <w:rFonts w:hint="eastAsia" w:ascii="宋体" w:hAnsi="宋体" w:cs="宋体"/>
          <w:color w:val="auto"/>
          <w:szCs w:val="21"/>
          <w:highlight w:val="none"/>
        </w:rPr>
        <w:t>；</w:t>
      </w:r>
    </w:p>
    <w:p w14:paraId="28D99940">
      <w:pPr>
        <w:spacing w:line="480" w:lineRule="exact"/>
        <w:ind w:firstLine="420" w:firstLineChars="200"/>
        <w:rPr>
          <w:rFonts w:ascii="宋体" w:hAnsi="宋体" w:cs="宋体"/>
          <w:color w:val="auto"/>
          <w:szCs w:val="21"/>
          <w:highlight w:val="none"/>
        </w:rPr>
      </w:pPr>
      <w:r>
        <w:rPr>
          <w:rFonts w:hint="eastAsia" w:ascii="宋体" w:hAnsi="宋体" w:cs="宋体"/>
          <w:color w:val="auto"/>
          <w:szCs w:val="21"/>
          <w:highlight w:val="none"/>
        </w:rPr>
        <w:t>通信地址：</w:t>
      </w:r>
      <w:r>
        <w:rPr>
          <w:rFonts w:hint="eastAsia" w:ascii="宋体" w:hAnsi="宋体" w:cs="宋体"/>
          <w:color w:val="auto"/>
          <w:szCs w:val="21"/>
          <w:highlight w:val="none"/>
          <w:u w:val="single"/>
        </w:rPr>
        <w:t xml:space="preserve">                               </w:t>
      </w:r>
      <w:r>
        <w:rPr>
          <w:rFonts w:hint="eastAsia" w:ascii="宋体" w:hAnsi="宋体" w:cs="宋体"/>
          <w:color w:val="auto"/>
          <w:szCs w:val="21"/>
          <w:highlight w:val="none"/>
        </w:rPr>
        <w:t>；</w:t>
      </w:r>
    </w:p>
    <w:p w14:paraId="2DD0AC04">
      <w:pPr>
        <w:spacing w:line="480" w:lineRule="exact"/>
        <w:ind w:firstLine="420" w:firstLineChars="200"/>
        <w:rPr>
          <w:rFonts w:ascii="宋体" w:hAnsi="宋体" w:cs="宋体"/>
          <w:color w:val="auto"/>
          <w:szCs w:val="21"/>
          <w:highlight w:val="none"/>
        </w:rPr>
      </w:pPr>
      <w:r>
        <w:rPr>
          <w:rFonts w:hint="eastAsia" w:ascii="宋体" w:hAnsi="宋体" w:cs="宋体"/>
          <w:color w:val="auto"/>
          <w:szCs w:val="21"/>
          <w:highlight w:val="none"/>
        </w:rPr>
        <w:t>关于监理人的其他约定：</w:t>
      </w:r>
      <w:r>
        <w:rPr>
          <w:rFonts w:hint="eastAsia" w:ascii="宋体" w:hAnsi="宋体" w:cs="宋体"/>
          <w:color w:val="auto"/>
          <w:szCs w:val="21"/>
          <w:highlight w:val="none"/>
          <w:u w:val="single"/>
        </w:rPr>
        <w:t xml:space="preserve">                   </w:t>
      </w:r>
      <w:r>
        <w:rPr>
          <w:rFonts w:hint="eastAsia" w:ascii="宋体" w:hAnsi="宋体" w:cs="宋体"/>
          <w:color w:val="auto"/>
          <w:szCs w:val="21"/>
          <w:highlight w:val="none"/>
        </w:rPr>
        <w:t>。</w:t>
      </w:r>
    </w:p>
    <w:p w14:paraId="25DDB928">
      <w:pPr>
        <w:spacing w:line="480" w:lineRule="exact"/>
        <w:ind w:firstLine="420" w:firstLineChars="200"/>
        <w:rPr>
          <w:rFonts w:ascii="宋体" w:hAnsi="宋体" w:cs="宋体"/>
          <w:color w:val="auto"/>
          <w:szCs w:val="21"/>
          <w:highlight w:val="none"/>
        </w:rPr>
      </w:pPr>
      <w:r>
        <w:rPr>
          <w:rFonts w:hint="eastAsia" w:ascii="宋体" w:hAnsi="宋体" w:cs="宋体"/>
          <w:color w:val="auto"/>
          <w:szCs w:val="21"/>
          <w:highlight w:val="none"/>
        </w:rPr>
        <w:t>4.4 商定或确定</w:t>
      </w:r>
    </w:p>
    <w:p w14:paraId="0932D25B">
      <w:pPr>
        <w:spacing w:line="480" w:lineRule="exact"/>
        <w:ind w:firstLine="315" w:firstLineChars="150"/>
        <w:rPr>
          <w:rFonts w:ascii="宋体" w:hAnsi="宋体" w:cs="宋体"/>
          <w:color w:val="auto"/>
          <w:szCs w:val="21"/>
          <w:highlight w:val="none"/>
        </w:rPr>
      </w:pPr>
      <w:bookmarkStart w:id="953" w:name="_Toc267251418"/>
      <w:r>
        <w:rPr>
          <w:rFonts w:hint="eastAsia" w:ascii="宋体" w:hAnsi="宋体" w:cs="宋体"/>
          <w:color w:val="auto"/>
          <w:szCs w:val="21"/>
          <w:highlight w:val="none"/>
        </w:rPr>
        <w:t>在发包人和承包人不能通过协商达成一致意见时，发包人授权监理人对以下事项进行确定：</w:t>
      </w:r>
      <w:r>
        <w:rPr>
          <w:rFonts w:hint="eastAsia" w:ascii="宋体" w:hAnsi="宋体" w:cs="宋体"/>
          <w:color w:val="auto"/>
          <w:szCs w:val="21"/>
          <w:highlight w:val="none"/>
          <w:u w:val="single"/>
        </w:rPr>
        <w:t xml:space="preserve">           ／</w:t>
      </w:r>
      <w:r>
        <w:rPr>
          <w:rFonts w:hint="eastAsia" w:ascii="宋体" w:hAnsi="宋体" w:cs="宋体"/>
          <w:color w:val="auto"/>
          <w:szCs w:val="21"/>
          <w:highlight w:val="none"/>
        </w:rPr>
        <w:t>；</w:t>
      </w:r>
    </w:p>
    <w:p w14:paraId="72968E2E">
      <w:pPr>
        <w:pStyle w:val="6"/>
        <w:spacing w:line="480" w:lineRule="exact"/>
        <w:jc w:val="left"/>
        <w:rPr>
          <w:rFonts w:ascii="宋体" w:hAnsi="宋体" w:cs="宋体"/>
          <w:b/>
          <w:color w:val="auto"/>
          <w:szCs w:val="21"/>
          <w:highlight w:val="none"/>
        </w:rPr>
      </w:pPr>
      <w:bookmarkStart w:id="954" w:name="_Toc351203637"/>
      <w:r>
        <w:rPr>
          <w:rFonts w:hint="eastAsia" w:ascii="宋体" w:hAnsi="宋体" w:cs="宋体"/>
          <w:b/>
          <w:color w:val="auto"/>
          <w:szCs w:val="21"/>
          <w:highlight w:val="none"/>
        </w:rPr>
        <w:t>5</w:t>
      </w:r>
      <w:bookmarkEnd w:id="953"/>
      <w:bookmarkStart w:id="955" w:name="_Toc296346664"/>
      <w:bookmarkStart w:id="956" w:name="_Toc292559367"/>
      <w:bookmarkStart w:id="957" w:name="_Toc297048349"/>
      <w:bookmarkStart w:id="958" w:name="_Toc292559872"/>
      <w:bookmarkStart w:id="959" w:name="_Toc296891203"/>
      <w:bookmarkStart w:id="960" w:name="_Toc296503163"/>
      <w:bookmarkStart w:id="961" w:name="_Toc296944502"/>
      <w:bookmarkStart w:id="962" w:name="_Toc297120463"/>
      <w:bookmarkStart w:id="963" w:name="_Toc296890991"/>
      <w:bookmarkStart w:id="964" w:name="_Toc296347162"/>
      <w:r>
        <w:rPr>
          <w:rFonts w:hint="eastAsia" w:ascii="宋体" w:hAnsi="宋体" w:cs="宋体"/>
          <w:b/>
          <w:color w:val="auto"/>
          <w:szCs w:val="21"/>
          <w:highlight w:val="none"/>
        </w:rPr>
        <w:t>. 工程质量</w:t>
      </w:r>
      <w:bookmarkEnd w:id="954"/>
    </w:p>
    <w:p w14:paraId="29BB1083">
      <w:pPr>
        <w:spacing w:line="480" w:lineRule="exact"/>
        <w:ind w:firstLine="420" w:firstLineChars="200"/>
        <w:rPr>
          <w:rFonts w:ascii="宋体" w:hAnsi="宋体" w:cs="宋体"/>
          <w:color w:val="auto"/>
          <w:szCs w:val="21"/>
          <w:highlight w:val="none"/>
        </w:rPr>
      </w:pPr>
      <w:r>
        <w:rPr>
          <w:rFonts w:hint="eastAsia" w:ascii="宋体" w:hAnsi="宋体" w:cs="宋体"/>
          <w:color w:val="auto"/>
          <w:szCs w:val="21"/>
          <w:highlight w:val="none"/>
        </w:rPr>
        <w:t>5.1 质量要求</w:t>
      </w:r>
    </w:p>
    <w:p w14:paraId="5C25A702">
      <w:pPr>
        <w:spacing w:line="480" w:lineRule="exact"/>
        <w:ind w:firstLine="420" w:firstLineChars="200"/>
        <w:jc w:val="left"/>
        <w:rPr>
          <w:rFonts w:ascii="宋体" w:hAnsi="宋体" w:cs="宋体"/>
          <w:color w:val="auto"/>
          <w:szCs w:val="21"/>
          <w:highlight w:val="none"/>
        </w:rPr>
      </w:pPr>
      <w:r>
        <w:rPr>
          <w:rFonts w:hint="eastAsia" w:ascii="宋体" w:hAnsi="宋体" w:cs="宋体"/>
          <w:color w:val="auto"/>
          <w:szCs w:val="21"/>
          <w:highlight w:val="none"/>
        </w:rPr>
        <w:t>5</w:t>
      </w:r>
      <w:bookmarkStart w:id="965" w:name="_Toc304295527"/>
      <w:bookmarkStart w:id="966" w:name="_Toc303539106"/>
      <w:bookmarkStart w:id="967" w:name="_Toc297216155"/>
      <w:bookmarkStart w:id="968" w:name="_Toc312677997"/>
      <w:bookmarkStart w:id="969" w:name="_Toc297123496"/>
      <w:bookmarkStart w:id="970" w:name="_Toc318581164"/>
      <w:bookmarkStart w:id="971" w:name="_Toc300934949"/>
      <w:r>
        <w:rPr>
          <w:rFonts w:hint="eastAsia" w:ascii="宋体" w:hAnsi="宋体" w:cs="宋体"/>
          <w:color w:val="auto"/>
          <w:szCs w:val="21"/>
          <w:highlight w:val="none"/>
        </w:rPr>
        <w:t>.1.1.1在工程建设中，工程建设相关各方应执行以下规定：</w:t>
      </w:r>
    </w:p>
    <w:p w14:paraId="2AAB6CCF">
      <w:pPr>
        <w:spacing w:line="480" w:lineRule="exact"/>
        <w:ind w:firstLine="420" w:firstLineChars="200"/>
        <w:jc w:val="left"/>
        <w:rPr>
          <w:rFonts w:ascii="宋体" w:hAnsi="宋体" w:cs="宋体"/>
          <w:color w:val="auto"/>
          <w:szCs w:val="21"/>
          <w:highlight w:val="none"/>
        </w:rPr>
      </w:pPr>
      <w:r>
        <w:rPr>
          <w:rFonts w:hint="eastAsia" w:ascii="宋体" w:hAnsi="宋体" w:cs="宋体"/>
          <w:color w:val="auto"/>
          <w:szCs w:val="21"/>
          <w:highlight w:val="none"/>
        </w:rPr>
        <w:t>（1）《民用建筑工程节能质量监督管理办法》（建质[2006]192号）</w:t>
      </w:r>
    </w:p>
    <w:p w14:paraId="0EECC183">
      <w:pPr>
        <w:spacing w:line="480" w:lineRule="exact"/>
        <w:ind w:firstLine="420" w:firstLineChars="200"/>
        <w:jc w:val="left"/>
        <w:rPr>
          <w:rFonts w:ascii="宋体" w:hAnsi="宋体" w:cs="宋体"/>
          <w:color w:val="auto"/>
          <w:szCs w:val="21"/>
          <w:highlight w:val="none"/>
        </w:rPr>
      </w:pPr>
      <w:r>
        <w:rPr>
          <w:rFonts w:hint="eastAsia" w:ascii="宋体" w:hAnsi="宋体" w:cs="宋体"/>
          <w:color w:val="auto"/>
          <w:szCs w:val="21"/>
          <w:highlight w:val="none"/>
        </w:rPr>
        <w:t>（2）《重庆市建筑节能条例》（重庆市人大[2007]第34号公告）</w:t>
      </w:r>
    </w:p>
    <w:p w14:paraId="58AE0591">
      <w:pPr>
        <w:spacing w:line="480" w:lineRule="exact"/>
        <w:ind w:firstLine="420" w:firstLineChars="200"/>
        <w:jc w:val="left"/>
        <w:rPr>
          <w:rFonts w:ascii="宋体" w:hAnsi="宋体" w:cs="宋体"/>
          <w:color w:val="auto"/>
          <w:szCs w:val="21"/>
          <w:highlight w:val="none"/>
        </w:rPr>
      </w:pPr>
      <w:r>
        <w:rPr>
          <w:rFonts w:hint="eastAsia" w:ascii="宋体" w:hAnsi="宋体" w:cs="宋体"/>
          <w:color w:val="auto"/>
          <w:szCs w:val="21"/>
          <w:highlight w:val="none"/>
        </w:rPr>
        <w:t>（3）《重庆市建设工程十项施工质量通病防治要点》（渝建发[2004]172号）</w:t>
      </w:r>
    </w:p>
    <w:p w14:paraId="52EA4D3F">
      <w:pPr>
        <w:spacing w:line="480" w:lineRule="exact"/>
        <w:ind w:firstLine="420" w:firstLineChars="200"/>
        <w:jc w:val="left"/>
        <w:rPr>
          <w:rFonts w:ascii="宋体" w:hAnsi="宋体" w:cs="宋体"/>
          <w:color w:val="auto"/>
          <w:szCs w:val="21"/>
          <w:highlight w:val="none"/>
        </w:rPr>
      </w:pPr>
      <w:r>
        <w:rPr>
          <w:rFonts w:hint="eastAsia" w:ascii="宋体" w:hAnsi="宋体" w:cs="宋体"/>
          <w:color w:val="auto"/>
          <w:szCs w:val="21"/>
          <w:highlight w:val="none"/>
        </w:rPr>
        <w:t>（4）《重庆市住宅工程质量分户检验管理办法（试行）》（渝建发[2007]199号）</w:t>
      </w:r>
    </w:p>
    <w:p w14:paraId="3E2BE990">
      <w:pPr>
        <w:spacing w:line="480" w:lineRule="exact"/>
        <w:ind w:firstLine="420" w:firstLineChars="200"/>
        <w:jc w:val="left"/>
        <w:rPr>
          <w:rFonts w:ascii="宋体" w:hAnsi="宋体" w:cs="宋体"/>
          <w:color w:val="auto"/>
          <w:szCs w:val="21"/>
          <w:highlight w:val="none"/>
        </w:rPr>
      </w:pPr>
      <w:r>
        <w:rPr>
          <w:rFonts w:hint="eastAsia" w:ascii="宋体" w:hAnsi="宋体" w:cs="宋体"/>
          <w:color w:val="auto"/>
          <w:szCs w:val="21"/>
          <w:highlight w:val="none"/>
        </w:rPr>
        <w:t>（5）重庆市建设委员会关于规范住宅工程初装饰竣工验收的通知》（渝建发[2007]226号）</w:t>
      </w:r>
    </w:p>
    <w:p w14:paraId="592EE425">
      <w:pPr>
        <w:spacing w:line="480" w:lineRule="exact"/>
        <w:ind w:firstLine="420" w:firstLineChars="200"/>
        <w:jc w:val="left"/>
        <w:rPr>
          <w:rFonts w:ascii="宋体" w:hAnsi="宋体" w:cs="宋体"/>
          <w:color w:val="auto"/>
          <w:szCs w:val="21"/>
          <w:highlight w:val="none"/>
        </w:rPr>
      </w:pPr>
      <w:r>
        <w:rPr>
          <w:rFonts w:hint="eastAsia" w:ascii="宋体" w:hAnsi="宋体" w:cs="宋体"/>
          <w:color w:val="auto"/>
          <w:szCs w:val="21"/>
          <w:highlight w:val="none"/>
        </w:rPr>
        <w:t>（6）《重庆城市桥梁荷载试验管理暂行办法》（渝建发[2007]112号）</w:t>
      </w:r>
    </w:p>
    <w:p w14:paraId="37293A04">
      <w:pPr>
        <w:tabs>
          <w:tab w:val="left" w:pos="1560"/>
          <w:tab w:val="left" w:pos="3119"/>
        </w:tabs>
        <w:spacing w:line="480" w:lineRule="exact"/>
        <w:ind w:firstLine="420" w:firstLineChars="200"/>
        <w:jc w:val="left"/>
        <w:rPr>
          <w:rFonts w:ascii="宋体" w:hAnsi="宋体" w:cs="宋体"/>
          <w:color w:val="auto"/>
          <w:szCs w:val="21"/>
          <w:highlight w:val="none"/>
        </w:rPr>
      </w:pPr>
      <w:r>
        <w:rPr>
          <w:rFonts w:hint="eastAsia" w:ascii="宋体" w:hAnsi="宋体" w:cs="宋体"/>
          <w:color w:val="auto"/>
          <w:szCs w:val="21"/>
          <w:highlight w:val="none"/>
        </w:rPr>
        <w:t>（7）《建设部关于贯彻执行工程勘察设计及施工质量验收规范若干问题的通知》（建标[2002]212号）</w:t>
      </w:r>
    </w:p>
    <w:p w14:paraId="08AAD863">
      <w:pPr>
        <w:spacing w:line="480" w:lineRule="exact"/>
        <w:ind w:firstLine="420" w:firstLineChars="200"/>
        <w:jc w:val="left"/>
        <w:rPr>
          <w:rFonts w:ascii="宋体" w:hAnsi="宋体" w:cs="宋体"/>
          <w:color w:val="auto"/>
          <w:szCs w:val="21"/>
          <w:highlight w:val="none"/>
        </w:rPr>
      </w:pPr>
      <w:r>
        <w:rPr>
          <w:rFonts w:hint="eastAsia" w:ascii="宋体" w:hAnsi="宋体" w:cs="宋体"/>
          <w:color w:val="auto"/>
          <w:szCs w:val="21"/>
          <w:highlight w:val="none"/>
        </w:rPr>
        <w:t>（8）《重庆市建设委员会关于在房屋建筑和市政基础设施工程推行预拌商品砂浆的实施意见》（渝建发[2008]30号）</w:t>
      </w:r>
    </w:p>
    <w:p w14:paraId="666D1451">
      <w:pPr>
        <w:spacing w:line="480" w:lineRule="exact"/>
        <w:ind w:firstLine="420" w:firstLineChars="200"/>
        <w:jc w:val="left"/>
        <w:rPr>
          <w:rFonts w:ascii="宋体" w:hAnsi="宋体" w:cs="宋体"/>
          <w:color w:val="auto"/>
          <w:szCs w:val="21"/>
          <w:highlight w:val="none"/>
        </w:rPr>
      </w:pPr>
      <w:r>
        <w:rPr>
          <w:rFonts w:hint="eastAsia" w:ascii="宋体" w:hAnsi="宋体" w:cs="宋体"/>
          <w:color w:val="auto"/>
          <w:szCs w:val="21"/>
          <w:highlight w:val="none"/>
        </w:rPr>
        <w:t>（9）《重庆市建设委员会关于发布&lt;建筑工程施工质量验收规范用表（建筑节能分部工程）&gt;和&lt;建设工程技术用表（建筑节能工程）&gt;的通知》（渝建发[2008]76号）</w:t>
      </w:r>
    </w:p>
    <w:p w14:paraId="05136662">
      <w:pPr>
        <w:spacing w:line="480" w:lineRule="exact"/>
        <w:ind w:firstLine="420" w:firstLineChars="200"/>
        <w:jc w:val="left"/>
        <w:rPr>
          <w:rFonts w:ascii="宋体" w:hAnsi="宋体" w:cs="宋体"/>
          <w:color w:val="auto"/>
          <w:szCs w:val="21"/>
          <w:highlight w:val="none"/>
        </w:rPr>
      </w:pPr>
      <w:r>
        <w:rPr>
          <w:rFonts w:hint="eastAsia" w:ascii="宋体" w:hAnsi="宋体" w:cs="宋体"/>
          <w:color w:val="auto"/>
          <w:szCs w:val="21"/>
          <w:highlight w:val="none"/>
        </w:rPr>
        <w:t>备注：若以上文件有废止情况的，则按照现行最新的相关法律法规及规范性文件执行。</w:t>
      </w:r>
    </w:p>
    <w:p w14:paraId="60843DA0">
      <w:pPr>
        <w:spacing w:line="480" w:lineRule="exact"/>
        <w:ind w:firstLine="420" w:firstLineChars="200"/>
        <w:jc w:val="left"/>
        <w:rPr>
          <w:rFonts w:ascii="宋体" w:hAnsi="宋体" w:cs="宋体"/>
          <w:color w:val="auto"/>
          <w:szCs w:val="21"/>
          <w:highlight w:val="none"/>
          <w:u w:val="single"/>
        </w:rPr>
      </w:pPr>
      <w:r>
        <w:rPr>
          <w:rFonts w:hint="eastAsia" w:ascii="宋体" w:hAnsi="宋体" w:cs="宋体"/>
          <w:color w:val="auto"/>
          <w:szCs w:val="21"/>
          <w:highlight w:val="none"/>
        </w:rPr>
        <w:t>5.1.1.2特殊质量标准和要求：</w:t>
      </w:r>
      <w:r>
        <w:rPr>
          <w:rFonts w:hint="eastAsia" w:ascii="宋体" w:hAnsi="宋体" w:cs="宋体"/>
          <w:color w:val="auto"/>
          <w:szCs w:val="21"/>
          <w:highlight w:val="none"/>
          <w:u w:val="single"/>
        </w:rPr>
        <w:t xml:space="preserve">  </w:t>
      </w:r>
      <w:bookmarkStart w:id="972" w:name="OLE_LINK41"/>
      <w:bookmarkStart w:id="973" w:name="OLE_LINK40"/>
      <w:r>
        <w:rPr>
          <w:rFonts w:hint="eastAsia" w:ascii="宋体" w:hAnsi="宋体" w:cs="宋体"/>
          <w:color w:val="auto"/>
          <w:szCs w:val="21"/>
          <w:highlight w:val="none"/>
          <w:u w:val="single"/>
        </w:rPr>
        <w:t xml:space="preserve">   /   </w:t>
      </w:r>
      <w:bookmarkEnd w:id="972"/>
      <w:bookmarkEnd w:id="973"/>
      <w:r>
        <w:rPr>
          <w:rFonts w:hint="eastAsia" w:ascii="宋体" w:hAnsi="宋体" w:cs="宋体"/>
          <w:color w:val="auto"/>
          <w:szCs w:val="21"/>
          <w:highlight w:val="none"/>
          <w:u w:val="single"/>
        </w:rPr>
        <w:t xml:space="preserve">      </w:t>
      </w:r>
      <w:r>
        <w:rPr>
          <w:rFonts w:hint="eastAsia" w:ascii="宋体" w:hAnsi="宋体" w:cs="宋体"/>
          <w:color w:val="auto"/>
          <w:szCs w:val="21"/>
          <w:highlight w:val="none"/>
        </w:rPr>
        <w:t>。</w:t>
      </w:r>
    </w:p>
    <w:p w14:paraId="0346F7AE">
      <w:pPr>
        <w:spacing w:line="480" w:lineRule="exact"/>
        <w:ind w:firstLine="420" w:firstLineChars="200"/>
        <w:jc w:val="left"/>
        <w:rPr>
          <w:rFonts w:ascii="宋体" w:hAnsi="宋体" w:cs="宋体"/>
          <w:color w:val="auto"/>
          <w:szCs w:val="21"/>
          <w:highlight w:val="none"/>
          <w:u w:val="single"/>
        </w:rPr>
      </w:pPr>
      <w:r>
        <w:rPr>
          <w:rFonts w:hint="eastAsia" w:ascii="宋体" w:hAnsi="宋体" w:cs="宋体"/>
          <w:color w:val="auto"/>
          <w:szCs w:val="21"/>
          <w:highlight w:val="none"/>
        </w:rPr>
        <w:t>关于工程奖项的约定：</w:t>
      </w:r>
      <w:r>
        <w:rPr>
          <w:rFonts w:hint="eastAsia" w:ascii="宋体" w:hAnsi="宋体" w:cs="宋体"/>
          <w:color w:val="auto"/>
          <w:szCs w:val="21"/>
          <w:highlight w:val="none"/>
          <w:u w:val="single"/>
        </w:rPr>
        <w:t xml:space="preserve">            ／                     </w:t>
      </w:r>
      <w:r>
        <w:rPr>
          <w:rFonts w:hint="eastAsia" w:ascii="宋体" w:hAnsi="宋体" w:cs="宋体"/>
          <w:color w:val="auto"/>
          <w:szCs w:val="21"/>
          <w:highlight w:val="none"/>
        </w:rPr>
        <w:t>。</w:t>
      </w:r>
    </w:p>
    <w:p w14:paraId="778E02A0">
      <w:pPr>
        <w:spacing w:line="480" w:lineRule="exact"/>
        <w:ind w:firstLine="420" w:firstLineChars="200"/>
        <w:rPr>
          <w:rFonts w:ascii="宋体" w:hAnsi="宋体" w:cs="宋体"/>
          <w:color w:val="auto"/>
          <w:szCs w:val="21"/>
          <w:highlight w:val="none"/>
        </w:rPr>
      </w:pPr>
      <w:r>
        <w:rPr>
          <w:rFonts w:hint="eastAsia" w:ascii="宋体" w:hAnsi="宋体" w:cs="宋体"/>
          <w:color w:val="auto"/>
          <w:szCs w:val="21"/>
          <w:highlight w:val="none"/>
        </w:rPr>
        <w:t>5.3 隐蔽工程检查</w:t>
      </w:r>
    </w:p>
    <w:p w14:paraId="2EFC2AB0">
      <w:pPr>
        <w:spacing w:line="480" w:lineRule="exact"/>
        <w:ind w:firstLine="420" w:firstLineChars="200"/>
        <w:jc w:val="left"/>
        <w:rPr>
          <w:rFonts w:ascii="宋体" w:hAnsi="宋体" w:cs="宋体"/>
          <w:color w:val="auto"/>
          <w:szCs w:val="21"/>
          <w:highlight w:val="none"/>
          <w:u w:val="single"/>
        </w:rPr>
      </w:pPr>
      <w:r>
        <w:rPr>
          <w:rFonts w:hint="eastAsia" w:ascii="宋体" w:hAnsi="宋体" w:cs="宋体"/>
          <w:color w:val="auto"/>
          <w:szCs w:val="21"/>
          <w:highlight w:val="none"/>
        </w:rPr>
        <w:t>5.3.2承包人提前通知监理人隐蔽工程检查的期限的约定：</w:t>
      </w:r>
      <w:bookmarkStart w:id="974" w:name="OLE_LINK43"/>
      <w:bookmarkStart w:id="975" w:name="OLE_LINK42"/>
      <w:r>
        <w:rPr>
          <w:rFonts w:hint="eastAsia" w:ascii="宋体" w:hAnsi="宋体" w:cs="宋体"/>
          <w:color w:val="auto"/>
          <w:szCs w:val="21"/>
          <w:highlight w:val="none"/>
          <w:u w:val="single"/>
        </w:rPr>
        <w:t xml:space="preserve">48小时前 </w:t>
      </w:r>
      <w:bookmarkEnd w:id="974"/>
      <w:bookmarkEnd w:id="975"/>
      <w:r>
        <w:rPr>
          <w:rFonts w:hint="eastAsia" w:ascii="宋体" w:hAnsi="宋体" w:cs="宋体"/>
          <w:color w:val="auto"/>
          <w:szCs w:val="21"/>
          <w:highlight w:val="none"/>
          <w:u w:val="single"/>
        </w:rPr>
        <w:t xml:space="preserve">  </w:t>
      </w:r>
      <w:r>
        <w:rPr>
          <w:rFonts w:hint="eastAsia" w:ascii="宋体" w:hAnsi="宋体" w:cs="宋体"/>
          <w:color w:val="auto"/>
          <w:szCs w:val="21"/>
          <w:highlight w:val="none"/>
        </w:rPr>
        <w:t>。</w:t>
      </w:r>
    </w:p>
    <w:p w14:paraId="060F88F9">
      <w:pPr>
        <w:spacing w:line="480" w:lineRule="exact"/>
        <w:ind w:firstLine="420" w:firstLineChars="200"/>
        <w:jc w:val="left"/>
        <w:rPr>
          <w:rFonts w:ascii="宋体" w:hAnsi="宋体" w:cs="宋体"/>
          <w:color w:val="auto"/>
          <w:szCs w:val="21"/>
          <w:highlight w:val="none"/>
        </w:rPr>
      </w:pPr>
      <w:r>
        <w:rPr>
          <w:rFonts w:hint="eastAsia" w:ascii="宋体" w:hAnsi="宋体" w:cs="宋体"/>
          <w:color w:val="auto"/>
          <w:szCs w:val="21"/>
          <w:highlight w:val="none"/>
        </w:rPr>
        <w:t>监理人不能按时进行检查时，应提前</w:t>
      </w:r>
      <w:r>
        <w:rPr>
          <w:rFonts w:hint="eastAsia" w:ascii="宋体" w:hAnsi="宋体" w:cs="宋体"/>
          <w:color w:val="auto"/>
          <w:szCs w:val="21"/>
          <w:highlight w:val="none"/>
          <w:u w:val="single"/>
        </w:rPr>
        <w:t xml:space="preserve">24 </w:t>
      </w:r>
      <w:r>
        <w:rPr>
          <w:rFonts w:hint="eastAsia" w:ascii="宋体" w:hAnsi="宋体" w:cs="宋体"/>
          <w:color w:val="auto"/>
          <w:szCs w:val="21"/>
          <w:highlight w:val="none"/>
        </w:rPr>
        <w:t>小时提交书面延期要求。</w:t>
      </w:r>
    </w:p>
    <w:p w14:paraId="7633D733">
      <w:pPr>
        <w:spacing w:line="480" w:lineRule="exact"/>
        <w:ind w:firstLine="420" w:firstLineChars="200"/>
        <w:jc w:val="left"/>
        <w:rPr>
          <w:rFonts w:ascii="宋体" w:hAnsi="宋体" w:cs="宋体"/>
          <w:color w:val="auto"/>
          <w:szCs w:val="21"/>
          <w:highlight w:val="none"/>
        </w:rPr>
      </w:pPr>
      <w:r>
        <w:rPr>
          <w:rFonts w:hint="eastAsia" w:ascii="宋体" w:hAnsi="宋体" w:cs="宋体"/>
          <w:color w:val="auto"/>
          <w:szCs w:val="21"/>
          <w:highlight w:val="none"/>
        </w:rPr>
        <w:t>关于延期最长不得超过：</w:t>
      </w:r>
      <w:r>
        <w:rPr>
          <w:rFonts w:hint="eastAsia" w:ascii="宋体" w:hAnsi="宋体" w:cs="宋体"/>
          <w:color w:val="auto"/>
          <w:szCs w:val="21"/>
          <w:highlight w:val="none"/>
          <w:u w:val="single"/>
        </w:rPr>
        <w:t xml:space="preserve">  48  </w:t>
      </w:r>
      <w:r>
        <w:rPr>
          <w:rFonts w:hint="eastAsia" w:ascii="宋体" w:hAnsi="宋体" w:cs="宋体"/>
          <w:color w:val="auto"/>
          <w:szCs w:val="21"/>
          <w:highlight w:val="none"/>
        </w:rPr>
        <w:t>小时。</w:t>
      </w:r>
    </w:p>
    <w:p w14:paraId="41A1CEB2">
      <w:pPr>
        <w:pStyle w:val="6"/>
        <w:spacing w:line="480" w:lineRule="exact"/>
        <w:jc w:val="left"/>
        <w:rPr>
          <w:rFonts w:ascii="宋体" w:hAnsi="宋体" w:cs="宋体"/>
          <w:b/>
          <w:color w:val="auto"/>
          <w:szCs w:val="21"/>
          <w:highlight w:val="none"/>
        </w:rPr>
      </w:pPr>
      <w:bookmarkStart w:id="976" w:name="_Toc351203638"/>
      <w:r>
        <w:rPr>
          <w:rFonts w:hint="eastAsia" w:ascii="宋体" w:hAnsi="宋体" w:cs="宋体"/>
          <w:b/>
          <w:color w:val="auto"/>
          <w:szCs w:val="21"/>
          <w:highlight w:val="none"/>
        </w:rPr>
        <w:t>6. 安全文明施工与环境保护</w:t>
      </w:r>
      <w:bookmarkEnd w:id="976"/>
    </w:p>
    <w:p w14:paraId="7A7877E8">
      <w:pPr>
        <w:spacing w:line="480" w:lineRule="exact"/>
        <w:ind w:firstLine="420" w:firstLineChars="200"/>
        <w:rPr>
          <w:rFonts w:ascii="宋体" w:hAnsi="宋体" w:cs="宋体"/>
          <w:color w:val="auto"/>
          <w:szCs w:val="21"/>
          <w:highlight w:val="none"/>
        </w:rPr>
      </w:pPr>
      <w:r>
        <w:rPr>
          <w:rFonts w:hint="eastAsia" w:ascii="宋体" w:hAnsi="宋体" w:cs="宋体"/>
          <w:color w:val="auto"/>
          <w:szCs w:val="21"/>
          <w:highlight w:val="none"/>
        </w:rPr>
        <w:t>6.1安全文明施工</w:t>
      </w:r>
    </w:p>
    <w:p w14:paraId="3868C7F6">
      <w:pPr>
        <w:spacing w:line="480" w:lineRule="exact"/>
        <w:ind w:firstLine="420" w:firstLineChars="200"/>
        <w:jc w:val="left"/>
        <w:rPr>
          <w:rFonts w:ascii="宋体" w:hAnsi="宋体" w:cs="宋体"/>
          <w:color w:val="auto"/>
          <w:szCs w:val="21"/>
          <w:highlight w:val="none"/>
        </w:rPr>
      </w:pPr>
      <w:r>
        <w:rPr>
          <w:rFonts w:hint="eastAsia" w:ascii="宋体" w:hAnsi="宋体" w:cs="宋体"/>
          <w:color w:val="auto"/>
          <w:szCs w:val="21"/>
          <w:highlight w:val="none"/>
        </w:rPr>
        <w:t>项目建设中执行重庆市住房和城乡建设委员会关于修订发布《重庆市建设工程安全文明施工费计取及使用管理规定》的通知（渝建管〔2024〕38号）”</w:t>
      </w:r>
    </w:p>
    <w:p w14:paraId="3757DA6C">
      <w:pPr>
        <w:spacing w:line="480" w:lineRule="exact"/>
        <w:ind w:firstLine="420" w:firstLineChars="200"/>
        <w:jc w:val="left"/>
        <w:rPr>
          <w:rFonts w:ascii="宋体" w:hAnsi="宋体" w:cs="宋体"/>
          <w:color w:val="auto"/>
          <w:szCs w:val="21"/>
          <w:highlight w:val="none"/>
        </w:rPr>
      </w:pPr>
      <w:r>
        <w:rPr>
          <w:rFonts w:hint="eastAsia" w:ascii="宋体" w:hAnsi="宋体" w:cs="宋体"/>
          <w:color w:val="auto"/>
          <w:szCs w:val="21"/>
          <w:highlight w:val="none"/>
        </w:rPr>
        <w:t>等有关安全生产和文明施工的现行相关规定。</w:t>
      </w:r>
    </w:p>
    <w:p w14:paraId="35112BD9">
      <w:pPr>
        <w:spacing w:line="480" w:lineRule="exact"/>
        <w:ind w:firstLine="420" w:firstLineChars="200"/>
        <w:jc w:val="left"/>
        <w:rPr>
          <w:rFonts w:ascii="宋体" w:hAnsi="宋体" w:cs="宋体"/>
          <w:color w:val="auto"/>
          <w:szCs w:val="21"/>
          <w:highlight w:val="none"/>
          <w:u w:val="single"/>
        </w:rPr>
      </w:pPr>
      <w:r>
        <w:rPr>
          <w:rFonts w:hint="eastAsia" w:ascii="宋体" w:hAnsi="宋体" w:cs="宋体"/>
          <w:color w:val="auto"/>
          <w:szCs w:val="21"/>
          <w:highlight w:val="none"/>
        </w:rPr>
        <w:t>6.1.1 项目安全生产的达标目标及相应事项的约定：</w:t>
      </w:r>
      <w:r>
        <w:rPr>
          <w:rFonts w:hint="eastAsia" w:ascii="宋体" w:hAnsi="宋体" w:cs="宋体"/>
          <w:color w:val="auto"/>
          <w:szCs w:val="21"/>
          <w:highlight w:val="none"/>
          <w:u w:val="single"/>
        </w:rPr>
        <w:t xml:space="preserve">  合格及以上   </w:t>
      </w:r>
      <w:r>
        <w:rPr>
          <w:rFonts w:hint="eastAsia" w:ascii="宋体" w:hAnsi="宋体" w:cs="宋体"/>
          <w:color w:val="auto"/>
          <w:szCs w:val="21"/>
          <w:highlight w:val="none"/>
        </w:rPr>
        <w:t>。</w:t>
      </w:r>
    </w:p>
    <w:p w14:paraId="6A8B91B0">
      <w:pPr>
        <w:spacing w:line="480" w:lineRule="exact"/>
        <w:ind w:firstLine="420" w:firstLineChars="200"/>
        <w:jc w:val="left"/>
        <w:rPr>
          <w:rFonts w:ascii="宋体" w:hAnsi="宋体" w:cs="宋体"/>
          <w:color w:val="auto"/>
          <w:szCs w:val="21"/>
          <w:highlight w:val="none"/>
          <w:u w:val="single"/>
        </w:rPr>
      </w:pPr>
      <w:r>
        <w:rPr>
          <w:rFonts w:hint="eastAsia" w:ascii="宋体" w:hAnsi="宋体" w:cs="宋体"/>
          <w:color w:val="auto"/>
          <w:szCs w:val="21"/>
          <w:highlight w:val="none"/>
        </w:rPr>
        <w:t>6.1.4 关于治安保卫的特别约定：</w:t>
      </w:r>
      <w:r>
        <w:rPr>
          <w:rFonts w:hint="eastAsia" w:ascii="宋体" w:hAnsi="宋体" w:cs="宋体"/>
          <w:color w:val="auto"/>
          <w:szCs w:val="21"/>
          <w:highlight w:val="none"/>
          <w:u w:val="single"/>
        </w:rPr>
        <w:t>现场治安管理机构或联防组织的组建由承包人负责</w:t>
      </w:r>
      <w:r>
        <w:rPr>
          <w:rFonts w:hint="eastAsia" w:ascii="宋体" w:hAnsi="宋体" w:cs="宋体"/>
          <w:color w:val="auto"/>
          <w:szCs w:val="21"/>
          <w:highlight w:val="none"/>
        </w:rPr>
        <w:t>。</w:t>
      </w:r>
    </w:p>
    <w:p w14:paraId="24713500">
      <w:pPr>
        <w:spacing w:line="480" w:lineRule="exact"/>
        <w:ind w:firstLine="420" w:firstLineChars="200"/>
        <w:jc w:val="left"/>
        <w:rPr>
          <w:rFonts w:ascii="宋体" w:hAnsi="宋体" w:cs="宋体"/>
          <w:color w:val="auto"/>
          <w:szCs w:val="21"/>
          <w:highlight w:val="none"/>
        </w:rPr>
      </w:pPr>
      <w:r>
        <w:rPr>
          <w:rFonts w:hint="eastAsia" w:ascii="宋体" w:hAnsi="宋体" w:cs="宋体"/>
          <w:color w:val="auto"/>
          <w:szCs w:val="21"/>
          <w:highlight w:val="none"/>
        </w:rPr>
        <w:t>关于编制施工场地治安管理计划的约定：</w:t>
      </w:r>
      <w:r>
        <w:rPr>
          <w:rFonts w:hint="eastAsia" w:ascii="宋体" w:hAnsi="宋体" w:cs="宋体"/>
          <w:color w:val="auto"/>
          <w:szCs w:val="21"/>
          <w:highlight w:val="none"/>
          <w:u w:val="single"/>
        </w:rPr>
        <w:t xml:space="preserve">由承包人编制 </w:t>
      </w:r>
      <w:r>
        <w:rPr>
          <w:rFonts w:hint="eastAsia" w:ascii="宋体" w:hAnsi="宋体" w:cs="宋体"/>
          <w:color w:val="auto"/>
          <w:szCs w:val="21"/>
          <w:highlight w:val="none"/>
        </w:rPr>
        <w:t>。</w:t>
      </w:r>
    </w:p>
    <w:p w14:paraId="0D9A96EE">
      <w:pPr>
        <w:spacing w:line="480" w:lineRule="exact"/>
        <w:ind w:firstLine="420" w:firstLineChars="200"/>
        <w:jc w:val="left"/>
        <w:rPr>
          <w:rFonts w:ascii="宋体" w:hAnsi="宋体" w:cs="宋体"/>
          <w:color w:val="auto"/>
          <w:szCs w:val="21"/>
          <w:highlight w:val="none"/>
        </w:rPr>
      </w:pPr>
      <w:r>
        <w:rPr>
          <w:rFonts w:hint="eastAsia" w:ascii="宋体" w:hAnsi="宋体" w:cs="宋体"/>
          <w:color w:val="auto"/>
          <w:szCs w:val="21"/>
          <w:highlight w:val="none"/>
        </w:rPr>
        <w:t>6.1.5 文明施工</w:t>
      </w:r>
    </w:p>
    <w:p w14:paraId="0A20205C">
      <w:pPr>
        <w:spacing w:line="480" w:lineRule="exact"/>
        <w:ind w:firstLine="420" w:firstLineChars="200"/>
        <w:jc w:val="left"/>
        <w:rPr>
          <w:rFonts w:ascii="宋体" w:hAnsi="宋体" w:cs="宋体"/>
          <w:color w:val="auto"/>
          <w:szCs w:val="21"/>
          <w:highlight w:val="none"/>
        </w:rPr>
      </w:pPr>
      <w:r>
        <w:rPr>
          <w:rFonts w:hint="eastAsia" w:ascii="宋体" w:hAnsi="宋体" w:cs="宋体"/>
          <w:color w:val="auto"/>
          <w:szCs w:val="21"/>
          <w:highlight w:val="none"/>
        </w:rPr>
        <w:t>合同当事人对文明施工的要求：</w:t>
      </w:r>
      <w:r>
        <w:rPr>
          <w:rFonts w:hint="eastAsia" w:ascii="宋体" w:hAnsi="宋体" w:cs="宋体"/>
          <w:bCs/>
          <w:color w:val="auto"/>
          <w:kern w:val="44"/>
          <w:szCs w:val="21"/>
          <w:highlight w:val="none"/>
          <w:u w:val="single"/>
          <w:lang w:bidi="en-US"/>
        </w:rPr>
        <w:t>在工程施工中，严格按重庆市建委渝建发（2014）25号文规定执行，做好安全防范工作，认真落实安全措施，确保施工安全。</w:t>
      </w:r>
      <w:bookmarkStart w:id="977" w:name="OLE_LINK44"/>
      <w:r>
        <w:rPr>
          <w:rFonts w:hint="eastAsia" w:ascii="宋体" w:hAnsi="宋体" w:cs="宋体"/>
          <w:bCs/>
          <w:color w:val="auto"/>
          <w:kern w:val="44"/>
          <w:szCs w:val="21"/>
          <w:highlight w:val="none"/>
          <w:u w:val="single"/>
          <w:lang w:bidi="en-US"/>
        </w:rPr>
        <w:t>若承包人未认真履行其义务，或所采取的安全措施不到位，执行不得力，应承担全部责任和经济损失。由此发生的费用已包含在竞选报价中，发包人不再支付</w:t>
      </w:r>
      <w:r>
        <w:rPr>
          <w:rFonts w:hint="eastAsia" w:ascii="宋体" w:hAnsi="宋体" w:cs="宋体"/>
          <w:color w:val="auto"/>
          <w:szCs w:val="21"/>
          <w:highlight w:val="none"/>
        </w:rPr>
        <w:t>。</w:t>
      </w:r>
    </w:p>
    <w:bookmarkEnd w:id="977"/>
    <w:p w14:paraId="76397BBF">
      <w:pPr>
        <w:spacing w:line="480" w:lineRule="exact"/>
        <w:ind w:firstLine="420" w:firstLineChars="200"/>
        <w:jc w:val="left"/>
        <w:rPr>
          <w:rFonts w:ascii="宋体" w:hAnsi="宋体" w:cs="宋体"/>
          <w:color w:val="auto"/>
          <w:szCs w:val="21"/>
          <w:highlight w:val="none"/>
        </w:rPr>
      </w:pPr>
      <w:r>
        <w:rPr>
          <w:rFonts w:hint="eastAsia" w:ascii="宋体" w:hAnsi="宋体" w:cs="宋体"/>
          <w:color w:val="auto"/>
          <w:szCs w:val="21"/>
          <w:highlight w:val="none"/>
        </w:rPr>
        <w:t>6.1.6 关于安全文明施工费支付比例和支付期限的约定：</w:t>
      </w:r>
      <w:r>
        <w:rPr>
          <w:rFonts w:hint="eastAsia" w:ascii="宋体" w:hAnsi="宋体" w:cs="宋体"/>
          <w:color w:val="auto"/>
          <w:szCs w:val="21"/>
          <w:highlight w:val="none"/>
          <w:u w:val="single"/>
        </w:rPr>
        <w:t>发包人应于签订施工合同后至工程开工前向承包人支付安全文明施工费的50%；余下安全文明施工费按施工进度支付</w:t>
      </w:r>
      <w:r>
        <w:rPr>
          <w:rFonts w:hint="eastAsia" w:ascii="宋体" w:hAnsi="宋体" w:cs="宋体"/>
          <w:color w:val="auto"/>
          <w:szCs w:val="21"/>
          <w:highlight w:val="none"/>
        </w:rPr>
        <w:t>，具体比例及时限为：</w:t>
      </w:r>
      <w:r>
        <w:rPr>
          <w:rFonts w:hint="eastAsia" w:ascii="宋体" w:hAnsi="宋体" w:cs="宋体"/>
          <w:color w:val="auto"/>
          <w:szCs w:val="21"/>
          <w:highlight w:val="none"/>
          <w:u w:val="single"/>
        </w:rPr>
        <w:t>工程开工前将50％的安全文明施工费拨付给承包人，余下安全文明施工费按施工进度支付</w:t>
      </w:r>
      <w:r>
        <w:rPr>
          <w:rFonts w:hint="eastAsia" w:ascii="宋体" w:hAnsi="宋体" w:cs="宋体"/>
          <w:color w:val="auto"/>
          <w:szCs w:val="21"/>
          <w:highlight w:val="none"/>
        </w:rPr>
        <w:t>。</w:t>
      </w:r>
    </w:p>
    <w:p w14:paraId="2F62F8C9">
      <w:pPr>
        <w:spacing w:line="480" w:lineRule="exact"/>
        <w:ind w:firstLine="420" w:firstLineChars="200"/>
        <w:jc w:val="left"/>
        <w:rPr>
          <w:rFonts w:ascii="宋体" w:hAnsi="宋体" w:cs="宋体"/>
          <w:color w:val="auto"/>
          <w:szCs w:val="21"/>
          <w:highlight w:val="none"/>
        </w:rPr>
      </w:pPr>
      <w:r>
        <w:rPr>
          <w:rFonts w:hint="eastAsia" w:ascii="宋体" w:hAnsi="宋体" w:cs="宋体"/>
          <w:color w:val="auto"/>
          <w:szCs w:val="21"/>
          <w:highlight w:val="none"/>
        </w:rPr>
        <w:t xml:space="preserve">6.1.9 </w:t>
      </w:r>
      <w:bookmarkStart w:id="978" w:name="OLE_LINK46"/>
      <w:bookmarkStart w:id="979" w:name="OLE_LINK45"/>
      <w:r>
        <w:rPr>
          <w:rFonts w:hint="eastAsia" w:ascii="宋体" w:hAnsi="宋体" w:cs="宋体"/>
          <w:color w:val="auto"/>
          <w:szCs w:val="21"/>
          <w:highlight w:val="none"/>
        </w:rPr>
        <w:t>承包人的安全责任</w:t>
      </w:r>
      <w:r>
        <w:rPr>
          <w:rFonts w:hint="eastAsia" w:ascii="宋体" w:hAnsi="宋体" w:cs="宋体"/>
          <w:color w:val="auto"/>
          <w:szCs w:val="21"/>
          <w:highlight w:val="none"/>
          <w:u w:val="single"/>
        </w:rPr>
        <w:t>：</w:t>
      </w:r>
      <w:r>
        <w:rPr>
          <w:rFonts w:hint="eastAsia" w:ascii="宋体" w:hAnsi="宋体" w:cs="宋体"/>
          <w:color w:val="auto"/>
          <w:szCs w:val="21"/>
          <w:highlight w:val="none"/>
          <w:u w:val="single"/>
          <w:lang w:val="zh-CN"/>
        </w:rPr>
        <w:t>承包人应做好安全防范工作，加强对职工的安全生产教育，遵守工程建设安全生产有关管理规定，严格按安全标准组织施工。施工中严格按照国家相关操作规程进行操作，牢固树立安全第一的思想，并对他们的安全负全责，在施工过程中和承包期内，若发生的一切病、伤、残、亡及第三者安全事故，均由承包人承担所有的责任和费用，发包人不承担任何责任和和连带责任以及发生安全事故的一切费用。因发包人的原因所发生一切病、伤、残、亡及第三者安全事故，均由发包人承担相应的责任和费用</w:t>
      </w:r>
      <w:r>
        <w:rPr>
          <w:rFonts w:hint="eastAsia" w:ascii="宋体" w:hAnsi="宋体" w:cs="宋体"/>
          <w:color w:val="auto"/>
          <w:szCs w:val="21"/>
          <w:highlight w:val="none"/>
          <w:lang w:val="zh-CN"/>
        </w:rPr>
        <w:t>。</w:t>
      </w:r>
    </w:p>
    <w:bookmarkEnd w:id="978"/>
    <w:bookmarkEnd w:id="979"/>
    <w:p w14:paraId="21EFC289">
      <w:pPr>
        <w:spacing w:line="480" w:lineRule="exact"/>
        <w:ind w:firstLine="420" w:firstLineChars="200"/>
        <w:jc w:val="left"/>
        <w:rPr>
          <w:rFonts w:ascii="宋体" w:hAnsi="宋体" w:cs="宋体"/>
          <w:color w:val="auto"/>
          <w:szCs w:val="21"/>
          <w:highlight w:val="none"/>
        </w:rPr>
      </w:pPr>
      <w:r>
        <w:rPr>
          <w:rFonts w:hint="eastAsia" w:ascii="宋体" w:hAnsi="宋体" w:cs="宋体"/>
          <w:color w:val="auto"/>
          <w:szCs w:val="21"/>
          <w:highlight w:val="none"/>
        </w:rPr>
        <w:t>6.3承包人应按照《房屋建筑和市政基础设施工程施工扬尘控制工作方案》（渝建发〔2009〕13号）、《重庆市房屋建筑和市政基础设施工程现场文明施工标准》（渝建发〔2008〕169号）等相关规定履行好施工扬尘控制、文明施工等责任。</w:t>
      </w:r>
      <w:bookmarkEnd w:id="965"/>
      <w:bookmarkEnd w:id="966"/>
      <w:bookmarkEnd w:id="967"/>
      <w:bookmarkEnd w:id="968"/>
      <w:bookmarkEnd w:id="969"/>
      <w:bookmarkEnd w:id="970"/>
      <w:bookmarkEnd w:id="971"/>
      <w:bookmarkStart w:id="980" w:name="_Toc351203639"/>
    </w:p>
    <w:p w14:paraId="37DFDC68">
      <w:pPr>
        <w:spacing w:line="480" w:lineRule="exact"/>
        <w:ind w:firstLine="422" w:firstLineChars="200"/>
        <w:jc w:val="left"/>
        <w:rPr>
          <w:rFonts w:ascii="宋体" w:hAnsi="宋体" w:cs="宋体"/>
          <w:color w:val="auto"/>
          <w:szCs w:val="21"/>
          <w:highlight w:val="none"/>
        </w:rPr>
      </w:pPr>
      <w:r>
        <w:rPr>
          <w:rFonts w:hint="eastAsia" w:ascii="宋体" w:hAnsi="宋体" w:cs="宋体"/>
          <w:b/>
          <w:color w:val="auto"/>
          <w:szCs w:val="21"/>
          <w:highlight w:val="none"/>
        </w:rPr>
        <w:t>7. 工期和进度</w:t>
      </w:r>
      <w:bookmarkEnd w:id="980"/>
    </w:p>
    <w:p w14:paraId="7BEF14E4">
      <w:pPr>
        <w:spacing w:line="480" w:lineRule="exact"/>
        <w:ind w:firstLine="420" w:firstLineChars="200"/>
        <w:rPr>
          <w:rFonts w:ascii="宋体" w:hAnsi="宋体" w:cs="宋体"/>
          <w:color w:val="auto"/>
          <w:szCs w:val="21"/>
          <w:highlight w:val="none"/>
        </w:rPr>
      </w:pPr>
      <w:r>
        <w:rPr>
          <w:rFonts w:hint="eastAsia" w:ascii="宋体" w:hAnsi="宋体" w:cs="宋体"/>
          <w:color w:val="auto"/>
          <w:szCs w:val="21"/>
          <w:highlight w:val="none"/>
        </w:rPr>
        <w:t>7.1 施工组织设计</w:t>
      </w:r>
    </w:p>
    <w:p w14:paraId="0EC26B00">
      <w:pPr>
        <w:autoSpaceDE w:val="0"/>
        <w:autoSpaceDN w:val="0"/>
        <w:adjustRightInd w:val="0"/>
        <w:spacing w:line="480" w:lineRule="exact"/>
        <w:ind w:firstLine="420" w:firstLineChars="200"/>
        <w:jc w:val="left"/>
        <w:rPr>
          <w:rFonts w:ascii="宋体" w:hAnsi="宋体" w:cs="宋体"/>
          <w:color w:val="auto"/>
          <w:szCs w:val="21"/>
          <w:highlight w:val="none"/>
          <w:u w:val="single"/>
        </w:rPr>
      </w:pPr>
      <w:r>
        <w:rPr>
          <w:rFonts w:hint="eastAsia" w:ascii="宋体" w:hAnsi="宋体" w:cs="宋体"/>
          <w:color w:val="auto"/>
          <w:szCs w:val="21"/>
          <w:highlight w:val="none"/>
        </w:rPr>
        <w:t>7.1.1 合</w:t>
      </w:r>
      <w:r>
        <w:rPr>
          <w:rFonts w:hint="eastAsia" w:ascii="宋体" w:hAnsi="宋体" w:cs="宋体"/>
          <w:color w:val="auto"/>
          <w:kern w:val="0"/>
          <w:szCs w:val="21"/>
          <w:highlight w:val="none"/>
        </w:rPr>
        <w:t>同当事人约定的施工组织设计应包括的其他内容：</w:t>
      </w:r>
      <w:r>
        <w:rPr>
          <w:rFonts w:hint="eastAsia" w:ascii="宋体" w:hAnsi="宋体" w:cs="宋体"/>
          <w:color w:val="auto"/>
          <w:kern w:val="0"/>
          <w:szCs w:val="21"/>
          <w:highlight w:val="none"/>
          <w:u w:val="single"/>
        </w:rPr>
        <w:t>按合同通用条款7.1.1执行</w:t>
      </w:r>
      <w:r>
        <w:rPr>
          <w:rFonts w:hint="eastAsia" w:ascii="宋体" w:hAnsi="宋体" w:cs="宋体"/>
          <w:color w:val="auto"/>
          <w:szCs w:val="21"/>
          <w:highlight w:val="none"/>
        </w:rPr>
        <w:t>。</w:t>
      </w:r>
    </w:p>
    <w:p w14:paraId="25F2204D">
      <w:pPr>
        <w:autoSpaceDE w:val="0"/>
        <w:autoSpaceDN w:val="0"/>
        <w:adjustRightInd w:val="0"/>
        <w:spacing w:line="480" w:lineRule="exact"/>
        <w:ind w:firstLine="420" w:firstLineChars="200"/>
        <w:jc w:val="left"/>
        <w:rPr>
          <w:rFonts w:ascii="宋体" w:hAnsi="宋体" w:cs="宋体"/>
          <w:color w:val="auto"/>
          <w:kern w:val="0"/>
          <w:szCs w:val="21"/>
          <w:highlight w:val="none"/>
        </w:rPr>
      </w:pPr>
      <w:r>
        <w:rPr>
          <w:rFonts w:hint="eastAsia" w:ascii="宋体" w:hAnsi="宋体" w:cs="宋体"/>
          <w:color w:val="auto"/>
          <w:szCs w:val="21"/>
          <w:highlight w:val="none"/>
        </w:rPr>
        <w:t xml:space="preserve">7.1.2 </w:t>
      </w:r>
      <w:r>
        <w:rPr>
          <w:rFonts w:hint="eastAsia" w:ascii="宋体" w:hAnsi="宋体" w:cs="宋体"/>
          <w:color w:val="auto"/>
          <w:kern w:val="0"/>
          <w:szCs w:val="21"/>
          <w:highlight w:val="none"/>
        </w:rPr>
        <w:t>施工组织设计的提交和修改</w:t>
      </w:r>
    </w:p>
    <w:p w14:paraId="6E3F273E">
      <w:pPr>
        <w:autoSpaceDE w:val="0"/>
        <w:autoSpaceDN w:val="0"/>
        <w:adjustRightInd w:val="0"/>
        <w:spacing w:line="480" w:lineRule="exact"/>
        <w:ind w:firstLine="420" w:firstLineChars="200"/>
        <w:jc w:val="left"/>
        <w:rPr>
          <w:rFonts w:ascii="宋体" w:hAnsi="宋体" w:cs="宋体"/>
          <w:color w:val="auto"/>
          <w:szCs w:val="21"/>
          <w:highlight w:val="none"/>
          <w:u w:val="single"/>
        </w:rPr>
      </w:pPr>
      <w:r>
        <w:rPr>
          <w:rFonts w:hint="eastAsia" w:ascii="宋体" w:hAnsi="宋体" w:cs="宋体"/>
          <w:color w:val="auto"/>
          <w:kern w:val="0"/>
          <w:szCs w:val="21"/>
          <w:highlight w:val="none"/>
        </w:rPr>
        <w:t>承包人提交详细施工组织设计的期限的约定：</w:t>
      </w:r>
      <w:r>
        <w:rPr>
          <w:rFonts w:hint="eastAsia" w:ascii="宋体" w:hAnsi="宋体" w:cs="宋体"/>
          <w:color w:val="auto"/>
          <w:szCs w:val="21"/>
          <w:highlight w:val="none"/>
          <w:u w:val="single"/>
        </w:rPr>
        <w:t xml:space="preserve">  开工7日前</w:t>
      </w:r>
      <w:r>
        <w:rPr>
          <w:rFonts w:hint="eastAsia" w:ascii="宋体" w:hAnsi="宋体" w:cs="宋体"/>
          <w:color w:val="auto"/>
          <w:szCs w:val="21"/>
          <w:highlight w:val="none"/>
        </w:rPr>
        <w:t>。</w:t>
      </w:r>
    </w:p>
    <w:p w14:paraId="38FB5750">
      <w:pPr>
        <w:spacing w:line="480" w:lineRule="exact"/>
        <w:ind w:firstLine="420" w:firstLineChars="200"/>
        <w:jc w:val="left"/>
        <w:rPr>
          <w:rFonts w:ascii="宋体" w:hAnsi="宋体" w:cs="宋体"/>
          <w:color w:val="auto"/>
          <w:szCs w:val="21"/>
          <w:highlight w:val="none"/>
        </w:rPr>
      </w:pPr>
      <w:r>
        <w:rPr>
          <w:rFonts w:hint="eastAsia" w:ascii="宋体" w:hAnsi="宋体" w:cs="宋体"/>
          <w:color w:val="auto"/>
          <w:szCs w:val="21"/>
          <w:highlight w:val="none"/>
        </w:rPr>
        <w:t>发包人和监理人在收到详细的施工组织设计后确认或提出修改意见的期限：</w:t>
      </w:r>
      <w:bookmarkStart w:id="981" w:name="OLE_LINK48"/>
      <w:bookmarkStart w:id="982" w:name="OLE_LINK49"/>
      <w:r>
        <w:rPr>
          <w:rFonts w:hint="eastAsia" w:ascii="宋体" w:hAnsi="宋体" w:cs="宋体"/>
          <w:color w:val="auto"/>
          <w:szCs w:val="21"/>
          <w:highlight w:val="none"/>
          <w:u w:val="single"/>
        </w:rPr>
        <w:t>7日内</w:t>
      </w:r>
      <w:bookmarkEnd w:id="981"/>
      <w:bookmarkEnd w:id="982"/>
      <w:r>
        <w:rPr>
          <w:rFonts w:hint="eastAsia" w:ascii="宋体" w:hAnsi="宋体" w:cs="宋体"/>
          <w:color w:val="auto"/>
          <w:szCs w:val="21"/>
          <w:highlight w:val="none"/>
          <w:u w:val="single"/>
        </w:rPr>
        <w:t xml:space="preserve"> </w:t>
      </w:r>
      <w:r>
        <w:rPr>
          <w:rFonts w:hint="eastAsia" w:ascii="宋体" w:hAnsi="宋体" w:cs="宋体"/>
          <w:color w:val="auto"/>
          <w:szCs w:val="21"/>
          <w:highlight w:val="none"/>
        </w:rPr>
        <w:t>。</w:t>
      </w:r>
    </w:p>
    <w:p w14:paraId="579A437C">
      <w:pPr>
        <w:spacing w:line="480" w:lineRule="exact"/>
        <w:ind w:firstLine="420" w:firstLineChars="200"/>
        <w:rPr>
          <w:rFonts w:ascii="宋体" w:hAnsi="宋体" w:cs="宋体"/>
          <w:color w:val="auto"/>
          <w:szCs w:val="21"/>
          <w:highlight w:val="none"/>
        </w:rPr>
      </w:pPr>
      <w:r>
        <w:rPr>
          <w:rFonts w:hint="eastAsia" w:ascii="宋体" w:hAnsi="宋体" w:cs="宋体"/>
          <w:color w:val="auto"/>
          <w:szCs w:val="21"/>
          <w:highlight w:val="none"/>
        </w:rPr>
        <w:t>7</w:t>
      </w:r>
      <w:bookmarkStart w:id="983" w:name="_Toc303539123"/>
      <w:bookmarkStart w:id="984" w:name="_Toc300934966"/>
      <w:bookmarkStart w:id="985" w:name="_Toc312677479"/>
      <w:bookmarkStart w:id="986" w:name="_Toc297216173"/>
      <w:bookmarkStart w:id="987" w:name="_Toc304295541"/>
      <w:bookmarkStart w:id="988" w:name="_Toc312678005"/>
      <w:bookmarkStart w:id="989" w:name="_Toc297123514"/>
      <w:r>
        <w:rPr>
          <w:rFonts w:hint="eastAsia" w:ascii="宋体" w:hAnsi="宋体" w:cs="宋体"/>
          <w:color w:val="auto"/>
          <w:szCs w:val="21"/>
          <w:highlight w:val="none"/>
        </w:rPr>
        <w:t>.2 施工进度计划</w:t>
      </w:r>
    </w:p>
    <w:p w14:paraId="725E4C79">
      <w:pPr>
        <w:spacing w:line="480" w:lineRule="exact"/>
        <w:ind w:firstLine="420" w:firstLineChars="200"/>
        <w:jc w:val="left"/>
        <w:rPr>
          <w:rFonts w:ascii="宋体" w:hAnsi="宋体" w:cs="宋体"/>
          <w:color w:val="auto"/>
          <w:szCs w:val="21"/>
          <w:highlight w:val="none"/>
        </w:rPr>
      </w:pPr>
      <w:r>
        <w:rPr>
          <w:rFonts w:hint="eastAsia" w:ascii="宋体" w:hAnsi="宋体" w:cs="宋体"/>
          <w:color w:val="auto"/>
          <w:szCs w:val="21"/>
          <w:highlight w:val="none"/>
        </w:rPr>
        <w:t>7.2.2 施工进度计划的修订</w:t>
      </w:r>
    </w:p>
    <w:p w14:paraId="51A89831">
      <w:pPr>
        <w:spacing w:line="480" w:lineRule="exact"/>
        <w:ind w:firstLine="420" w:firstLineChars="200"/>
        <w:jc w:val="left"/>
        <w:rPr>
          <w:rFonts w:ascii="宋体" w:hAnsi="宋体" w:cs="宋体"/>
          <w:color w:val="auto"/>
          <w:szCs w:val="21"/>
          <w:highlight w:val="none"/>
          <w:u w:val="single"/>
        </w:rPr>
      </w:pPr>
      <w:r>
        <w:rPr>
          <w:rFonts w:hint="eastAsia" w:ascii="宋体" w:hAnsi="宋体" w:cs="宋体"/>
          <w:color w:val="auto"/>
          <w:szCs w:val="21"/>
          <w:highlight w:val="none"/>
        </w:rPr>
        <w:t>发包人和监理人在收到修订的施工进度计划后确认或提出修改意见的期限：</w:t>
      </w:r>
      <w:r>
        <w:rPr>
          <w:rFonts w:hint="eastAsia" w:ascii="宋体" w:hAnsi="宋体" w:cs="宋体"/>
          <w:color w:val="auto"/>
          <w:szCs w:val="21"/>
          <w:highlight w:val="none"/>
          <w:u w:val="single"/>
        </w:rPr>
        <w:t>7日内</w:t>
      </w:r>
      <w:r>
        <w:rPr>
          <w:rFonts w:hint="eastAsia" w:ascii="宋体" w:hAnsi="宋体" w:cs="宋体"/>
          <w:color w:val="auto"/>
          <w:szCs w:val="21"/>
          <w:highlight w:val="none"/>
        </w:rPr>
        <w:t xml:space="preserve">。 </w:t>
      </w:r>
    </w:p>
    <w:p w14:paraId="372D8166">
      <w:pPr>
        <w:spacing w:line="480" w:lineRule="exact"/>
        <w:ind w:firstLine="420" w:firstLineChars="200"/>
        <w:jc w:val="left"/>
        <w:rPr>
          <w:rFonts w:ascii="宋体" w:hAnsi="宋体" w:cs="宋体"/>
          <w:color w:val="auto"/>
          <w:szCs w:val="21"/>
          <w:highlight w:val="none"/>
        </w:rPr>
      </w:pPr>
      <w:r>
        <w:rPr>
          <w:rFonts w:hint="eastAsia" w:ascii="宋体" w:hAnsi="宋体" w:cs="宋体"/>
          <w:color w:val="auto"/>
          <w:szCs w:val="21"/>
          <w:highlight w:val="none"/>
        </w:rPr>
        <w:t>7.3 开工</w:t>
      </w:r>
    </w:p>
    <w:p w14:paraId="2C701B75">
      <w:pPr>
        <w:spacing w:line="480" w:lineRule="exact"/>
        <w:ind w:firstLine="420" w:firstLineChars="200"/>
        <w:jc w:val="left"/>
        <w:rPr>
          <w:rFonts w:ascii="宋体" w:hAnsi="宋体" w:cs="宋体"/>
          <w:color w:val="auto"/>
          <w:szCs w:val="21"/>
          <w:highlight w:val="none"/>
        </w:rPr>
      </w:pPr>
      <w:r>
        <w:rPr>
          <w:rFonts w:hint="eastAsia" w:ascii="宋体" w:hAnsi="宋体" w:cs="宋体"/>
          <w:color w:val="auto"/>
          <w:szCs w:val="21"/>
          <w:highlight w:val="none"/>
        </w:rPr>
        <w:t>7.3.1 开工准备</w:t>
      </w:r>
    </w:p>
    <w:p w14:paraId="66556346">
      <w:pPr>
        <w:spacing w:line="480" w:lineRule="exact"/>
        <w:ind w:firstLine="645"/>
        <w:jc w:val="left"/>
        <w:rPr>
          <w:rFonts w:ascii="宋体" w:hAnsi="宋体" w:cs="宋体"/>
          <w:color w:val="auto"/>
          <w:szCs w:val="21"/>
          <w:highlight w:val="none"/>
          <w:u w:val="single"/>
        </w:rPr>
      </w:pPr>
      <w:r>
        <w:rPr>
          <w:rFonts w:hint="eastAsia" w:ascii="宋体" w:hAnsi="宋体" w:cs="宋体"/>
          <w:color w:val="auto"/>
          <w:szCs w:val="21"/>
          <w:highlight w:val="none"/>
        </w:rPr>
        <w:t>关于承包人提交</w:t>
      </w:r>
      <w:r>
        <w:rPr>
          <w:rFonts w:hint="eastAsia" w:ascii="宋体" w:hAnsi="宋体" w:cs="宋体"/>
          <w:color w:val="auto"/>
          <w:kern w:val="0"/>
          <w:szCs w:val="21"/>
          <w:highlight w:val="none"/>
        </w:rPr>
        <w:t>工程开工报审表的期限：</w:t>
      </w:r>
      <w:r>
        <w:rPr>
          <w:rFonts w:hint="eastAsia" w:ascii="宋体" w:hAnsi="宋体" w:cs="宋体"/>
          <w:color w:val="auto"/>
          <w:szCs w:val="21"/>
          <w:highlight w:val="none"/>
          <w:u w:val="single"/>
        </w:rPr>
        <w:t>开工7日前</w:t>
      </w:r>
      <w:r>
        <w:rPr>
          <w:rFonts w:hint="eastAsia" w:ascii="宋体" w:hAnsi="宋体" w:cs="宋体"/>
          <w:color w:val="auto"/>
          <w:szCs w:val="21"/>
          <w:highlight w:val="none"/>
        </w:rPr>
        <w:t>。</w:t>
      </w:r>
    </w:p>
    <w:p w14:paraId="10E8F2DE">
      <w:pPr>
        <w:spacing w:line="480" w:lineRule="exact"/>
        <w:ind w:firstLine="645"/>
        <w:jc w:val="left"/>
        <w:rPr>
          <w:rFonts w:ascii="宋体" w:hAnsi="宋体" w:cs="宋体"/>
          <w:color w:val="auto"/>
          <w:szCs w:val="21"/>
          <w:highlight w:val="none"/>
          <w:u w:val="single"/>
        </w:rPr>
      </w:pPr>
      <w:r>
        <w:rPr>
          <w:rFonts w:hint="eastAsia" w:ascii="宋体" w:hAnsi="宋体" w:cs="宋体"/>
          <w:color w:val="auto"/>
          <w:szCs w:val="21"/>
          <w:highlight w:val="none"/>
        </w:rPr>
        <w:t>关于发包人应完成的其他开工准备工作及期限：</w:t>
      </w:r>
      <w:r>
        <w:rPr>
          <w:rFonts w:hint="eastAsia" w:ascii="宋体" w:hAnsi="宋体" w:cs="宋体"/>
          <w:color w:val="auto"/>
          <w:szCs w:val="21"/>
          <w:highlight w:val="none"/>
          <w:u w:val="single"/>
        </w:rPr>
        <w:t xml:space="preserve"> 开工3日前。</w:t>
      </w:r>
    </w:p>
    <w:p w14:paraId="15A1F514">
      <w:pPr>
        <w:spacing w:line="480" w:lineRule="exact"/>
        <w:ind w:firstLine="420" w:firstLineChars="200"/>
        <w:jc w:val="left"/>
        <w:rPr>
          <w:rFonts w:ascii="宋体" w:hAnsi="宋体" w:cs="宋体"/>
          <w:color w:val="auto"/>
          <w:szCs w:val="21"/>
          <w:highlight w:val="none"/>
          <w:u w:val="single"/>
        </w:rPr>
      </w:pPr>
      <w:r>
        <w:rPr>
          <w:rFonts w:hint="eastAsia" w:ascii="宋体" w:hAnsi="宋体" w:cs="宋体"/>
          <w:color w:val="auto"/>
          <w:szCs w:val="21"/>
          <w:highlight w:val="none"/>
        </w:rPr>
        <w:t>关于承包人应完成的其他开工准备工作及期限：</w:t>
      </w:r>
      <w:r>
        <w:rPr>
          <w:rFonts w:hint="eastAsia" w:ascii="宋体" w:hAnsi="宋体" w:cs="宋体"/>
          <w:color w:val="auto"/>
          <w:szCs w:val="21"/>
          <w:highlight w:val="none"/>
          <w:u w:val="single"/>
        </w:rPr>
        <w:t xml:space="preserve">  开工3日前</w:t>
      </w:r>
      <w:r>
        <w:rPr>
          <w:rFonts w:hint="eastAsia" w:ascii="宋体" w:hAnsi="宋体" w:cs="宋体"/>
          <w:color w:val="auto"/>
          <w:szCs w:val="21"/>
          <w:highlight w:val="none"/>
        </w:rPr>
        <w:t>。</w:t>
      </w:r>
    </w:p>
    <w:p w14:paraId="32D19E36">
      <w:pPr>
        <w:spacing w:line="480" w:lineRule="exact"/>
        <w:ind w:firstLine="420" w:firstLineChars="200"/>
        <w:jc w:val="left"/>
        <w:rPr>
          <w:rFonts w:ascii="宋体" w:hAnsi="宋体" w:cs="宋体"/>
          <w:color w:val="auto"/>
          <w:szCs w:val="21"/>
          <w:highlight w:val="none"/>
        </w:rPr>
      </w:pPr>
      <w:r>
        <w:rPr>
          <w:rFonts w:hint="eastAsia" w:ascii="宋体" w:hAnsi="宋体" w:cs="宋体"/>
          <w:color w:val="auto"/>
          <w:szCs w:val="21"/>
          <w:highlight w:val="none"/>
        </w:rPr>
        <w:t>7.3.2开工通知</w:t>
      </w:r>
    </w:p>
    <w:p w14:paraId="30961EBC">
      <w:pPr>
        <w:spacing w:line="480" w:lineRule="exact"/>
        <w:ind w:firstLine="420" w:firstLineChars="200"/>
        <w:jc w:val="left"/>
        <w:rPr>
          <w:rFonts w:ascii="宋体" w:hAnsi="宋体" w:cs="宋体"/>
          <w:color w:val="auto"/>
          <w:szCs w:val="21"/>
          <w:highlight w:val="none"/>
        </w:rPr>
      </w:pPr>
      <w:r>
        <w:rPr>
          <w:rFonts w:hint="eastAsia" w:ascii="宋体" w:hAnsi="宋体" w:cs="宋体"/>
          <w:color w:val="auto"/>
          <w:szCs w:val="21"/>
          <w:highlight w:val="none"/>
        </w:rPr>
        <w:t>因发包人原因造成监理人未能在计划开工日期之日起</w:t>
      </w:r>
      <w:r>
        <w:rPr>
          <w:rFonts w:hint="eastAsia" w:ascii="宋体" w:hAnsi="宋体" w:cs="宋体"/>
          <w:color w:val="auto"/>
          <w:szCs w:val="21"/>
          <w:highlight w:val="none"/>
          <w:u w:val="single"/>
        </w:rPr>
        <w:t xml:space="preserve">  90  </w:t>
      </w:r>
      <w:r>
        <w:rPr>
          <w:rFonts w:hint="eastAsia" w:ascii="宋体" w:hAnsi="宋体" w:cs="宋体"/>
          <w:color w:val="auto"/>
          <w:szCs w:val="21"/>
          <w:highlight w:val="none"/>
        </w:rPr>
        <w:t>天内发出开工通知的，承包人有权提出价格调整要求，或者解除合同。</w:t>
      </w:r>
    </w:p>
    <w:bookmarkEnd w:id="983"/>
    <w:bookmarkEnd w:id="984"/>
    <w:bookmarkEnd w:id="985"/>
    <w:bookmarkEnd w:id="986"/>
    <w:bookmarkEnd w:id="987"/>
    <w:bookmarkEnd w:id="988"/>
    <w:bookmarkEnd w:id="989"/>
    <w:p w14:paraId="286178E6">
      <w:pPr>
        <w:spacing w:line="480" w:lineRule="exact"/>
        <w:ind w:firstLine="420" w:firstLineChars="200"/>
        <w:rPr>
          <w:rFonts w:ascii="宋体" w:hAnsi="宋体" w:cs="宋体"/>
          <w:color w:val="auto"/>
          <w:szCs w:val="21"/>
          <w:highlight w:val="none"/>
        </w:rPr>
      </w:pPr>
      <w:r>
        <w:rPr>
          <w:rFonts w:hint="eastAsia" w:ascii="宋体" w:hAnsi="宋体" w:cs="宋体"/>
          <w:color w:val="auto"/>
          <w:szCs w:val="21"/>
          <w:highlight w:val="none"/>
        </w:rPr>
        <w:t>7.4 测量放线</w:t>
      </w:r>
    </w:p>
    <w:p w14:paraId="04E11E2F">
      <w:pPr>
        <w:spacing w:line="480" w:lineRule="exact"/>
        <w:ind w:firstLine="420" w:firstLineChars="200"/>
        <w:jc w:val="left"/>
        <w:rPr>
          <w:rFonts w:ascii="宋体" w:hAnsi="宋体" w:cs="宋体"/>
          <w:color w:val="auto"/>
          <w:szCs w:val="21"/>
          <w:highlight w:val="none"/>
          <w:u w:val="single"/>
        </w:rPr>
      </w:pPr>
      <w:r>
        <w:rPr>
          <w:rFonts w:hint="eastAsia" w:ascii="宋体" w:hAnsi="宋体" w:cs="宋体"/>
          <w:color w:val="auto"/>
          <w:szCs w:val="21"/>
          <w:highlight w:val="none"/>
        </w:rPr>
        <w:t>7.4.1发包人通过监理人向承包人提供测量基准点、基准线和水准点及其书面资料的期限：</w:t>
      </w:r>
      <w:r>
        <w:rPr>
          <w:rFonts w:hint="eastAsia" w:ascii="宋体" w:hAnsi="宋体" w:cs="宋体"/>
          <w:color w:val="auto"/>
          <w:szCs w:val="21"/>
          <w:highlight w:val="none"/>
          <w:u w:val="single"/>
        </w:rPr>
        <w:t xml:space="preserve">开工3天前 </w:t>
      </w:r>
      <w:r>
        <w:rPr>
          <w:rFonts w:hint="eastAsia" w:ascii="宋体" w:hAnsi="宋体" w:cs="宋体"/>
          <w:color w:val="auto"/>
          <w:szCs w:val="21"/>
          <w:highlight w:val="none"/>
        </w:rPr>
        <w:t>。</w:t>
      </w:r>
    </w:p>
    <w:p w14:paraId="68B32B68">
      <w:pPr>
        <w:spacing w:line="480" w:lineRule="exact"/>
        <w:ind w:firstLine="420" w:firstLineChars="200"/>
        <w:rPr>
          <w:rFonts w:ascii="宋体" w:hAnsi="宋体" w:cs="宋体"/>
          <w:color w:val="auto"/>
          <w:szCs w:val="21"/>
          <w:highlight w:val="none"/>
        </w:rPr>
      </w:pPr>
      <w:r>
        <w:rPr>
          <w:rFonts w:hint="eastAsia" w:ascii="宋体" w:hAnsi="宋体" w:cs="宋体"/>
          <w:color w:val="auto"/>
          <w:szCs w:val="21"/>
          <w:highlight w:val="none"/>
        </w:rPr>
        <w:t>7</w:t>
      </w:r>
      <w:bookmarkStart w:id="990" w:name="_Toc312677484"/>
      <w:bookmarkStart w:id="991" w:name="_Toc304295546"/>
      <w:bookmarkStart w:id="992" w:name="_Toc300934968"/>
      <w:bookmarkStart w:id="993" w:name="_Toc297123516"/>
      <w:bookmarkStart w:id="994" w:name="_Toc312678010"/>
      <w:bookmarkStart w:id="995" w:name="_Toc303539125"/>
      <w:bookmarkStart w:id="996" w:name="_Toc297216175"/>
      <w:r>
        <w:rPr>
          <w:rFonts w:hint="eastAsia" w:ascii="宋体" w:hAnsi="宋体" w:cs="宋体"/>
          <w:color w:val="auto"/>
          <w:szCs w:val="21"/>
          <w:highlight w:val="none"/>
        </w:rPr>
        <w:t>.5 工期延误</w:t>
      </w:r>
    </w:p>
    <w:bookmarkEnd w:id="990"/>
    <w:bookmarkEnd w:id="991"/>
    <w:bookmarkEnd w:id="992"/>
    <w:bookmarkEnd w:id="993"/>
    <w:bookmarkEnd w:id="994"/>
    <w:bookmarkEnd w:id="995"/>
    <w:bookmarkEnd w:id="996"/>
    <w:p w14:paraId="026AF65E">
      <w:pPr>
        <w:spacing w:line="480" w:lineRule="exact"/>
        <w:ind w:firstLine="420" w:firstLineChars="200"/>
        <w:jc w:val="left"/>
        <w:rPr>
          <w:rFonts w:ascii="宋体" w:hAnsi="宋体" w:cs="宋体"/>
          <w:color w:val="auto"/>
          <w:szCs w:val="21"/>
          <w:highlight w:val="none"/>
        </w:rPr>
      </w:pPr>
      <w:r>
        <w:rPr>
          <w:rFonts w:hint="eastAsia" w:ascii="宋体" w:hAnsi="宋体" w:cs="宋体"/>
          <w:color w:val="auto"/>
          <w:szCs w:val="21"/>
          <w:highlight w:val="none"/>
        </w:rPr>
        <w:t>7.5.1 因发包人原因导致工期延误</w:t>
      </w:r>
    </w:p>
    <w:p w14:paraId="36AA3080">
      <w:pPr>
        <w:spacing w:line="480" w:lineRule="exact"/>
        <w:ind w:firstLine="420" w:firstLineChars="200"/>
        <w:jc w:val="left"/>
        <w:rPr>
          <w:rFonts w:ascii="宋体" w:hAnsi="宋体" w:cs="宋体"/>
          <w:color w:val="auto"/>
          <w:szCs w:val="21"/>
          <w:highlight w:val="none"/>
          <w:u w:val="single"/>
        </w:rPr>
      </w:pPr>
      <w:r>
        <w:rPr>
          <w:rFonts w:hint="eastAsia" w:ascii="宋体" w:hAnsi="宋体" w:cs="宋体"/>
          <w:color w:val="auto"/>
          <w:szCs w:val="21"/>
          <w:highlight w:val="none"/>
        </w:rPr>
        <w:t>（7）因发包人原因导致工期延误的其他情形：</w:t>
      </w:r>
      <w:r>
        <w:rPr>
          <w:rFonts w:hint="eastAsia" w:ascii="宋体" w:hAnsi="宋体" w:cs="宋体"/>
          <w:color w:val="auto"/>
          <w:szCs w:val="21"/>
          <w:highlight w:val="none"/>
          <w:u w:val="single"/>
        </w:rPr>
        <w:t xml:space="preserve">   ／  </w:t>
      </w:r>
      <w:r>
        <w:rPr>
          <w:rFonts w:hint="eastAsia" w:ascii="宋体" w:hAnsi="宋体" w:cs="宋体"/>
          <w:color w:val="auto"/>
          <w:szCs w:val="21"/>
          <w:highlight w:val="none"/>
        </w:rPr>
        <w:t>。</w:t>
      </w:r>
    </w:p>
    <w:p w14:paraId="22524983">
      <w:pPr>
        <w:spacing w:line="480" w:lineRule="exact"/>
        <w:ind w:firstLine="420" w:firstLineChars="200"/>
        <w:jc w:val="left"/>
        <w:rPr>
          <w:rFonts w:ascii="宋体" w:hAnsi="宋体" w:cs="宋体"/>
          <w:color w:val="auto"/>
          <w:szCs w:val="21"/>
          <w:highlight w:val="none"/>
        </w:rPr>
      </w:pPr>
      <w:r>
        <w:rPr>
          <w:rFonts w:hint="eastAsia" w:ascii="宋体" w:hAnsi="宋体" w:cs="宋体"/>
          <w:color w:val="auto"/>
          <w:szCs w:val="21"/>
          <w:highlight w:val="none"/>
        </w:rPr>
        <w:t>7</w:t>
      </w:r>
      <w:bookmarkStart w:id="997" w:name="_Toc312677486"/>
      <w:bookmarkStart w:id="998" w:name="_Toc312678012"/>
      <w:bookmarkStart w:id="999" w:name="_Toc318581169"/>
      <w:bookmarkStart w:id="1000" w:name="_Toc297216177"/>
      <w:bookmarkStart w:id="1001" w:name="_Toc300934970"/>
      <w:bookmarkStart w:id="1002" w:name="_Toc304295548"/>
      <w:bookmarkStart w:id="1003" w:name="_Toc297123518"/>
      <w:bookmarkStart w:id="1004" w:name="_Toc303539127"/>
      <w:r>
        <w:rPr>
          <w:rFonts w:hint="eastAsia" w:ascii="宋体" w:hAnsi="宋体" w:cs="宋体"/>
          <w:color w:val="auto"/>
          <w:szCs w:val="21"/>
          <w:highlight w:val="none"/>
        </w:rPr>
        <w:t>.5.2 因承包人原因导致工期延误</w:t>
      </w:r>
    </w:p>
    <w:bookmarkEnd w:id="997"/>
    <w:bookmarkEnd w:id="998"/>
    <w:bookmarkEnd w:id="999"/>
    <w:p w14:paraId="3890724A">
      <w:pPr>
        <w:spacing w:line="480" w:lineRule="exact"/>
        <w:ind w:firstLine="420" w:firstLineChars="200"/>
        <w:jc w:val="left"/>
        <w:rPr>
          <w:rFonts w:ascii="宋体" w:hAnsi="宋体" w:cs="宋体"/>
          <w:color w:val="auto"/>
          <w:szCs w:val="21"/>
          <w:highlight w:val="none"/>
          <w:u w:val="single"/>
        </w:rPr>
      </w:pPr>
      <w:r>
        <w:rPr>
          <w:rFonts w:hint="eastAsia" w:ascii="宋体" w:hAnsi="宋体" w:cs="宋体"/>
          <w:color w:val="auto"/>
          <w:szCs w:val="21"/>
          <w:highlight w:val="none"/>
        </w:rPr>
        <w:t>因</w:t>
      </w:r>
      <w:bookmarkStart w:id="1005" w:name="_Toc312677487"/>
      <w:bookmarkStart w:id="1006" w:name="_Toc312678013"/>
      <w:bookmarkStart w:id="1007" w:name="_Toc318581170"/>
      <w:r>
        <w:rPr>
          <w:rFonts w:hint="eastAsia" w:ascii="宋体" w:hAnsi="宋体" w:cs="宋体"/>
          <w:color w:val="auto"/>
          <w:szCs w:val="21"/>
          <w:highlight w:val="none"/>
        </w:rPr>
        <w:t>承包人原因造成工期延误，</w:t>
      </w:r>
      <w:bookmarkStart w:id="1008" w:name="OLE_LINK51"/>
      <w:bookmarkStart w:id="1009" w:name="OLE_LINK50"/>
      <w:r>
        <w:rPr>
          <w:rFonts w:hint="eastAsia" w:ascii="宋体" w:hAnsi="宋体" w:cs="宋体"/>
          <w:color w:val="auto"/>
          <w:szCs w:val="21"/>
          <w:highlight w:val="none"/>
        </w:rPr>
        <w:t>逾期竣工违约金的计算方法为：</w:t>
      </w:r>
      <w:r>
        <w:rPr>
          <w:rFonts w:hint="eastAsia" w:ascii="宋体" w:hAnsi="宋体" w:cs="宋体"/>
          <w:bCs/>
          <w:color w:val="auto"/>
          <w:szCs w:val="21"/>
          <w:highlight w:val="none"/>
          <w:u w:val="single"/>
          <w:lang w:val="zh-CN"/>
        </w:rPr>
        <w:t>工期每延期竣工交付使用一天交</w:t>
      </w:r>
      <w:r>
        <w:rPr>
          <w:rFonts w:hint="eastAsia" w:ascii="宋体" w:hAnsi="宋体" w:cs="宋体"/>
          <w:color w:val="auto"/>
          <w:szCs w:val="21"/>
          <w:highlight w:val="none"/>
          <w:u w:val="single"/>
        </w:rPr>
        <w:t>违约金交 500元</w:t>
      </w:r>
      <w:bookmarkEnd w:id="1000"/>
      <w:bookmarkEnd w:id="1001"/>
      <w:bookmarkEnd w:id="1002"/>
      <w:bookmarkEnd w:id="1003"/>
      <w:bookmarkEnd w:id="1004"/>
      <w:bookmarkEnd w:id="1005"/>
      <w:bookmarkEnd w:id="1006"/>
      <w:r>
        <w:rPr>
          <w:rFonts w:hint="eastAsia" w:ascii="宋体" w:hAnsi="宋体" w:cs="宋体"/>
          <w:color w:val="auto"/>
          <w:szCs w:val="21"/>
          <w:highlight w:val="none"/>
          <w:u w:val="single"/>
        </w:rPr>
        <w:t>。</w:t>
      </w:r>
    </w:p>
    <w:bookmarkEnd w:id="1007"/>
    <w:p w14:paraId="04988233">
      <w:pPr>
        <w:spacing w:line="480" w:lineRule="exact"/>
        <w:ind w:firstLine="420" w:firstLineChars="200"/>
        <w:jc w:val="left"/>
        <w:rPr>
          <w:rFonts w:ascii="宋体" w:hAnsi="宋体" w:cs="宋体"/>
          <w:color w:val="auto"/>
          <w:szCs w:val="21"/>
          <w:highlight w:val="none"/>
        </w:rPr>
      </w:pPr>
      <w:r>
        <w:rPr>
          <w:rFonts w:hint="eastAsia" w:ascii="宋体" w:hAnsi="宋体" w:cs="宋体"/>
          <w:color w:val="auto"/>
          <w:szCs w:val="21"/>
          <w:highlight w:val="none"/>
        </w:rPr>
        <w:t>因承包人原因造成工期延误，逾</w:t>
      </w:r>
      <w:bookmarkStart w:id="1010" w:name="_Toc318581171"/>
      <w:bookmarkStart w:id="1011" w:name="_Toc312678014"/>
      <w:r>
        <w:rPr>
          <w:rFonts w:hint="eastAsia" w:ascii="宋体" w:hAnsi="宋体" w:cs="宋体"/>
          <w:color w:val="auto"/>
          <w:szCs w:val="21"/>
          <w:highlight w:val="none"/>
        </w:rPr>
        <w:t>期竣工违约金的上限：</w:t>
      </w:r>
      <w:r>
        <w:rPr>
          <w:rFonts w:hint="eastAsia" w:ascii="宋体" w:hAnsi="宋体" w:cs="宋体"/>
          <w:color w:val="auto"/>
          <w:szCs w:val="21"/>
          <w:highlight w:val="none"/>
          <w:u w:val="single"/>
        </w:rPr>
        <w:t xml:space="preserve">不超过50000.00元 </w:t>
      </w:r>
      <w:r>
        <w:rPr>
          <w:rFonts w:hint="eastAsia" w:ascii="宋体" w:hAnsi="宋体" w:cs="宋体"/>
          <w:color w:val="auto"/>
          <w:szCs w:val="21"/>
          <w:highlight w:val="none"/>
        </w:rPr>
        <w:t>。</w:t>
      </w:r>
    </w:p>
    <w:bookmarkEnd w:id="1008"/>
    <w:bookmarkEnd w:id="1009"/>
    <w:bookmarkEnd w:id="1010"/>
    <w:bookmarkEnd w:id="1011"/>
    <w:p w14:paraId="4EC5C8E9">
      <w:pPr>
        <w:spacing w:line="480" w:lineRule="exact"/>
        <w:ind w:firstLine="420" w:firstLineChars="200"/>
        <w:rPr>
          <w:rFonts w:ascii="宋体" w:hAnsi="宋体" w:cs="宋体"/>
          <w:color w:val="auto"/>
          <w:szCs w:val="21"/>
          <w:highlight w:val="none"/>
        </w:rPr>
      </w:pPr>
      <w:r>
        <w:rPr>
          <w:rFonts w:hint="eastAsia" w:ascii="宋体" w:hAnsi="宋体" w:cs="宋体"/>
          <w:color w:val="auto"/>
          <w:szCs w:val="21"/>
          <w:highlight w:val="none"/>
        </w:rPr>
        <w:t>7</w:t>
      </w:r>
      <w:bookmarkStart w:id="1012" w:name="_Toc300934971"/>
      <w:bookmarkStart w:id="1013" w:name="_Toc304295549"/>
      <w:bookmarkStart w:id="1014" w:name="_Toc297216178"/>
      <w:bookmarkStart w:id="1015" w:name="_Toc303539128"/>
      <w:bookmarkStart w:id="1016" w:name="_Toc312678015"/>
      <w:bookmarkStart w:id="1017" w:name="_Toc297123519"/>
      <w:r>
        <w:rPr>
          <w:rFonts w:hint="eastAsia" w:ascii="宋体" w:hAnsi="宋体" w:cs="宋体"/>
          <w:color w:val="auto"/>
          <w:szCs w:val="21"/>
          <w:highlight w:val="none"/>
        </w:rPr>
        <w:t>.6 不</w:t>
      </w:r>
      <w:bookmarkEnd w:id="1012"/>
      <w:bookmarkEnd w:id="1013"/>
      <w:bookmarkEnd w:id="1014"/>
      <w:bookmarkEnd w:id="1015"/>
      <w:bookmarkEnd w:id="1016"/>
      <w:bookmarkEnd w:id="1017"/>
      <w:r>
        <w:rPr>
          <w:rFonts w:hint="eastAsia" w:ascii="宋体" w:hAnsi="宋体" w:cs="宋体"/>
          <w:color w:val="auto"/>
          <w:szCs w:val="21"/>
          <w:highlight w:val="none"/>
        </w:rPr>
        <w:t>利物质条件</w:t>
      </w:r>
    </w:p>
    <w:p w14:paraId="3770B48E">
      <w:pPr>
        <w:spacing w:line="480" w:lineRule="exact"/>
        <w:jc w:val="left"/>
        <w:rPr>
          <w:rFonts w:ascii="宋体" w:hAnsi="宋体" w:cs="宋体"/>
          <w:color w:val="auto"/>
          <w:szCs w:val="21"/>
          <w:highlight w:val="none"/>
        </w:rPr>
      </w:pPr>
      <w:bookmarkStart w:id="1018" w:name="_Toc297216179"/>
      <w:bookmarkStart w:id="1019" w:name="_Toc297123520"/>
      <w:bookmarkStart w:id="1020" w:name="_Toc300934972"/>
      <w:bookmarkStart w:id="1021" w:name="_Toc318581172"/>
      <w:bookmarkStart w:id="1022" w:name="_Toc312678016"/>
      <w:bookmarkStart w:id="1023" w:name="_Toc303539129"/>
      <w:bookmarkStart w:id="1024" w:name="_Toc304295550"/>
      <w:r>
        <w:rPr>
          <w:rFonts w:hint="eastAsia" w:ascii="宋体" w:hAnsi="宋体" w:cs="宋体"/>
          <w:color w:val="auto"/>
          <w:szCs w:val="21"/>
          <w:highlight w:val="none"/>
        </w:rPr>
        <w:t>不利物质条件的其他情形和有关约定：</w:t>
      </w:r>
      <w:r>
        <w:rPr>
          <w:rFonts w:hint="eastAsia" w:ascii="宋体" w:hAnsi="宋体" w:cs="宋体"/>
          <w:color w:val="auto"/>
          <w:szCs w:val="21"/>
          <w:highlight w:val="none"/>
          <w:u w:val="single"/>
        </w:rPr>
        <w:t>非承包方人为原因造成连续停电或停水超过8小时，非承包方人为原因阻止施工超过8小时等，工期顺延并协商解决承包人的损失问题。</w:t>
      </w:r>
    </w:p>
    <w:bookmarkEnd w:id="1018"/>
    <w:bookmarkEnd w:id="1019"/>
    <w:bookmarkEnd w:id="1020"/>
    <w:bookmarkEnd w:id="1021"/>
    <w:bookmarkEnd w:id="1022"/>
    <w:bookmarkEnd w:id="1023"/>
    <w:bookmarkEnd w:id="1024"/>
    <w:p w14:paraId="3A57779E">
      <w:pPr>
        <w:spacing w:line="480" w:lineRule="exact"/>
        <w:ind w:firstLine="420" w:firstLineChars="200"/>
        <w:rPr>
          <w:rFonts w:ascii="宋体" w:hAnsi="宋体" w:cs="宋体"/>
          <w:color w:val="auto"/>
          <w:szCs w:val="21"/>
          <w:highlight w:val="none"/>
        </w:rPr>
      </w:pPr>
      <w:r>
        <w:rPr>
          <w:rFonts w:hint="eastAsia" w:ascii="宋体" w:hAnsi="宋体" w:cs="宋体"/>
          <w:color w:val="auto"/>
          <w:szCs w:val="21"/>
          <w:highlight w:val="none"/>
        </w:rPr>
        <w:t>7</w:t>
      </w:r>
      <w:bookmarkStart w:id="1025" w:name="_Toc312678017"/>
      <w:bookmarkStart w:id="1026" w:name="_Toc303539130"/>
      <w:bookmarkStart w:id="1027" w:name="_Toc304295551"/>
      <w:bookmarkStart w:id="1028" w:name="_Toc297216180"/>
      <w:bookmarkStart w:id="1029" w:name="_Toc297123521"/>
      <w:bookmarkStart w:id="1030" w:name="_Toc300934973"/>
      <w:r>
        <w:rPr>
          <w:rFonts w:hint="eastAsia" w:ascii="宋体" w:hAnsi="宋体" w:cs="宋体"/>
          <w:color w:val="auto"/>
          <w:szCs w:val="21"/>
          <w:highlight w:val="none"/>
        </w:rPr>
        <w:t>.7异常恶劣的气候条件</w:t>
      </w:r>
    </w:p>
    <w:bookmarkEnd w:id="1025"/>
    <w:bookmarkEnd w:id="1026"/>
    <w:bookmarkEnd w:id="1027"/>
    <w:bookmarkEnd w:id="1028"/>
    <w:bookmarkEnd w:id="1029"/>
    <w:bookmarkEnd w:id="1030"/>
    <w:p w14:paraId="512B04F4">
      <w:pPr>
        <w:spacing w:line="480" w:lineRule="exact"/>
        <w:ind w:firstLine="420" w:firstLineChars="200"/>
        <w:jc w:val="left"/>
        <w:rPr>
          <w:rFonts w:ascii="宋体" w:hAnsi="宋体" w:cs="宋体"/>
          <w:color w:val="auto"/>
          <w:szCs w:val="21"/>
          <w:highlight w:val="none"/>
        </w:rPr>
      </w:pPr>
      <w:r>
        <w:rPr>
          <w:rFonts w:hint="eastAsia" w:ascii="宋体" w:hAnsi="宋体" w:cs="宋体"/>
          <w:color w:val="auto"/>
          <w:szCs w:val="21"/>
          <w:highlight w:val="none"/>
        </w:rPr>
        <w:t>发包人和承包人同意以下情形视为异常恶劣的气候条件：</w:t>
      </w:r>
    </w:p>
    <w:p w14:paraId="512E38D1">
      <w:pPr>
        <w:spacing w:line="480" w:lineRule="exact"/>
        <w:ind w:firstLine="420" w:firstLineChars="200"/>
        <w:jc w:val="left"/>
        <w:rPr>
          <w:rFonts w:ascii="宋体" w:hAnsi="宋体" w:cs="宋体"/>
          <w:color w:val="auto"/>
          <w:szCs w:val="21"/>
          <w:highlight w:val="none"/>
        </w:rPr>
      </w:pPr>
      <w:r>
        <w:rPr>
          <w:rFonts w:hint="eastAsia" w:ascii="宋体" w:hAnsi="宋体" w:cs="宋体"/>
          <w:color w:val="auto"/>
          <w:szCs w:val="21"/>
          <w:highlight w:val="none"/>
        </w:rPr>
        <w:t>（1）</w:t>
      </w:r>
      <w:r>
        <w:rPr>
          <w:rFonts w:hint="eastAsia" w:ascii="宋体" w:hAnsi="宋体" w:cs="宋体"/>
          <w:color w:val="auto"/>
          <w:szCs w:val="21"/>
          <w:highlight w:val="none"/>
          <w:u w:val="single"/>
        </w:rPr>
        <w:t xml:space="preserve">                     /                      </w:t>
      </w:r>
      <w:r>
        <w:rPr>
          <w:rFonts w:hint="eastAsia" w:ascii="宋体" w:hAnsi="宋体" w:cs="宋体"/>
          <w:color w:val="auto"/>
          <w:szCs w:val="21"/>
          <w:highlight w:val="none"/>
        </w:rPr>
        <w:t>；</w:t>
      </w:r>
    </w:p>
    <w:p w14:paraId="3EFD6026">
      <w:pPr>
        <w:spacing w:line="480" w:lineRule="exact"/>
        <w:ind w:firstLine="420" w:firstLineChars="200"/>
        <w:jc w:val="left"/>
        <w:rPr>
          <w:rFonts w:ascii="宋体" w:hAnsi="宋体" w:cs="宋体"/>
          <w:color w:val="auto"/>
          <w:szCs w:val="21"/>
          <w:highlight w:val="none"/>
        </w:rPr>
      </w:pPr>
      <w:r>
        <w:rPr>
          <w:rFonts w:hint="eastAsia" w:ascii="宋体" w:hAnsi="宋体" w:cs="宋体"/>
          <w:color w:val="auto"/>
          <w:szCs w:val="21"/>
          <w:highlight w:val="none"/>
        </w:rPr>
        <w:t>（2）</w:t>
      </w:r>
      <w:r>
        <w:rPr>
          <w:rFonts w:hint="eastAsia" w:ascii="宋体" w:hAnsi="宋体" w:cs="宋体"/>
          <w:color w:val="auto"/>
          <w:szCs w:val="21"/>
          <w:highlight w:val="none"/>
          <w:u w:val="single"/>
        </w:rPr>
        <w:t xml:space="preserve">                     /                      </w:t>
      </w:r>
      <w:r>
        <w:rPr>
          <w:rFonts w:hint="eastAsia" w:ascii="宋体" w:hAnsi="宋体" w:cs="宋体"/>
          <w:color w:val="auto"/>
          <w:szCs w:val="21"/>
          <w:highlight w:val="none"/>
        </w:rPr>
        <w:t>；</w:t>
      </w:r>
    </w:p>
    <w:p w14:paraId="798E6F3E">
      <w:pPr>
        <w:spacing w:line="480" w:lineRule="exact"/>
        <w:ind w:firstLine="420" w:firstLineChars="200"/>
        <w:jc w:val="left"/>
        <w:rPr>
          <w:rFonts w:ascii="宋体" w:hAnsi="宋体" w:cs="宋体"/>
          <w:color w:val="auto"/>
          <w:szCs w:val="21"/>
          <w:highlight w:val="none"/>
        </w:rPr>
      </w:pPr>
      <w:r>
        <w:rPr>
          <w:rFonts w:hint="eastAsia" w:ascii="宋体" w:hAnsi="宋体" w:cs="宋体"/>
          <w:color w:val="auto"/>
          <w:szCs w:val="21"/>
          <w:highlight w:val="none"/>
        </w:rPr>
        <w:t>（3）</w:t>
      </w:r>
      <w:r>
        <w:rPr>
          <w:rFonts w:hint="eastAsia" w:ascii="宋体" w:hAnsi="宋体" w:cs="宋体"/>
          <w:color w:val="auto"/>
          <w:szCs w:val="21"/>
          <w:highlight w:val="none"/>
          <w:u w:val="single"/>
        </w:rPr>
        <w:t xml:space="preserve">                     /                      </w:t>
      </w:r>
      <w:r>
        <w:rPr>
          <w:rFonts w:hint="eastAsia" w:ascii="宋体" w:hAnsi="宋体" w:cs="宋体"/>
          <w:color w:val="auto"/>
          <w:szCs w:val="21"/>
          <w:highlight w:val="none"/>
        </w:rPr>
        <w:t>。</w:t>
      </w:r>
    </w:p>
    <w:p w14:paraId="6B7E71CD">
      <w:pPr>
        <w:spacing w:line="480" w:lineRule="exact"/>
        <w:ind w:firstLine="420" w:firstLineChars="200"/>
        <w:rPr>
          <w:rFonts w:ascii="宋体" w:hAnsi="宋体" w:cs="宋体"/>
          <w:color w:val="auto"/>
          <w:szCs w:val="21"/>
          <w:highlight w:val="none"/>
        </w:rPr>
      </w:pPr>
      <w:r>
        <w:rPr>
          <w:rFonts w:hint="eastAsia" w:ascii="宋体" w:hAnsi="宋体" w:cs="宋体"/>
          <w:color w:val="auto"/>
          <w:szCs w:val="21"/>
          <w:highlight w:val="none"/>
        </w:rPr>
        <w:t>7.9 提前竣工的奖励</w:t>
      </w:r>
    </w:p>
    <w:p w14:paraId="34006A1D">
      <w:pPr>
        <w:spacing w:line="480" w:lineRule="exact"/>
        <w:ind w:firstLine="420" w:firstLineChars="200"/>
        <w:jc w:val="left"/>
        <w:rPr>
          <w:rFonts w:ascii="宋体" w:hAnsi="宋体" w:cs="宋体"/>
          <w:color w:val="auto"/>
          <w:szCs w:val="21"/>
          <w:highlight w:val="none"/>
        </w:rPr>
      </w:pPr>
      <w:r>
        <w:rPr>
          <w:rFonts w:hint="eastAsia" w:ascii="宋体" w:hAnsi="宋体" w:cs="宋体"/>
          <w:color w:val="auto"/>
          <w:szCs w:val="21"/>
          <w:highlight w:val="none"/>
        </w:rPr>
        <w:t>7.9.2提前竣工的奖励：</w:t>
      </w:r>
      <w:r>
        <w:rPr>
          <w:rFonts w:hint="eastAsia" w:ascii="宋体" w:hAnsi="宋体" w:cs="宋体"/>
          <w:bCs/>
          <w:color w:val="auto"/>
          <w:szCs w:val="21"/>
          <w:highlight w:val="none"/>
          <w:u w:val="single"/>
          <w:lang w:val="zh-CN"/>
        </w:rPr>
        <w:t>无</w:t>
      </w:r>
      <w:r>
        <w:rPr>
          <w:rFonts w:hint="eastAsia" w:ascii="宋体" w:hAnsi="宋体" w:cs="宋体"/>
          <w:color w:val="auto"/>
          <w:szCs w:val="21"/>
          <w:highlight w:val="none"/>
        </w:rPr>
        <w:t>。</w:t>
      </w:r>
    </w:p>
    <w:p w14:paraId="1B9F87F6">
      <w:pPr>
        <w:pStyle w:val="6"/>
        <w:spacing w:line="480" w:lineRule="exact"/>
        <w:jc w:val="left"/>
        <w:rPr>
          <w:rFonts w:ascii="宋体" w:hAnsi="宋体" w:cs="宋体"/>
          <w:b/>
          <w:color w:val="auto"/>
          <w:szCs w:val="21"/>
          <w:highlight w:val="none"/>
        </w:rPr>
      </w:pPr>
      <w:bookmarkStart w:id="1031" w:name="_Toc351203640"/>
      <w:r>
        <w:rPr>
          <w:rFonts w:hint="eastAsia" w:ascii="宋体" w:hAnsi="宋体" w:cs="宋体"/>
          <w:b/>
          <w:color w:val="auto"/>
          <w:szCs w:val="21"/>
          <w:highlight w:val="none"/>
        </w:rPr>
        <w:t>8. 材料与设备</w:t>
      </w:r>
      <w:bookmarkEnd w:id="1031"/>
    </w:p>
    <w:bookmarkEnd w:id="955"/>
    <w:bookmarkEnd w:id="956"/>
    <w:bookmarkEnd w:id="957"/>
    <w:bookmarkEnd w:id="958"/>
    <w:bookmarkEnd w:id="959"/>
    <w:bookmarkEnd w:id="960"/>
    <w:bookmarkEnd w:id="961"/>
    <w:bookmarkEnd w:id="962"/>
    <w:bookmarkEnd w:id="963"/>
    <w:bookmarkEnd w:id="964"/>
    <w:p w14:paraId="3E7FB129">
      <w:pPr>
        <w:spacing w:line="480" w:lineRule="exact"/>
        <w:ind w:firstLine="420" w:firstLineChars="200"/>
        <w:rPr>
          <w:rFonts w:ascii="宋体" w:hAnsi="宋体" w:cs="宋体"/>
          <w:color w:val="auto"/>
          <w:szCs w:val="21"/>
          <w:highlight w:val="none"/>
        </w:rPr>
      </w:pPr>
      <w:r>
        <w:rPr>
          <w:rFonts w:hint="eastAsia" w:ascii="宋体" w:hAnsi="宋体" w:cs="宋体"/>
          <w:color w:val="auto"/>
          <w:szCs w:val="21"/>
          <w:highlight w:val="none"/>
        </w:rPr>
        <w:t>8</w:t>
      </w:r>
      <w:bookmarkStart w:id="1032" w:name="_Toc297216186"/>
      <w:bookmarkStart w:id="1033" w:name="_Toc312677493"/>
      <w:bookmarkStart w:id="1034" w:name="_Toc297120467"/>
      <w:bookmarkStart w:id="1035" w:name="_Toc296944506"/>
      <w:bookmarkStart w:id="1036" w:name="_Toc297048353"/>
      <w:bookmarkStart w:id="1037" w:name="_Toc312678019"/>
      <w:bookmarkStart w:id="1038" w:name="_Toc296891207"/>
      <w:bookmarkStart w:id="1039" w:name="_Toc304295556"/>
      <w:bookmarkStart w:id="1040" w:name="_Toc296347166"/>
      <w:bookmarkStart w:id="1041" w:name="_Toc296503167"/>
      <w:bookmarkStart w:id="1042" w:name="_Toc296346668"/>
      <w:bookmarkStart w:id="1043" w:name="_Toc296890995"/>
      <w:bookmarkStart w:id="1044" w:name="_Toc280868654"/>
      <w:bookmarkStart w:id="1045" w:name="_Toc292559372"/>
      <w:bookmarkStart w:id="1046" w:name="_Toc303539136"/>
      <w:bookmarkStart w:id="1047" w:name="_Toc300934979"/>
      <w:bookmarkStart w:id="1048" w:name="_Toc297123527"/>
      <w:bookmarkStart w:id="1049" w:name="_Toc292559877"/>
      <w:bookmarkStart w:id="1050" w:name="_Toc280868656"/>
      <w:bookmarkStart w:id="1051" w:name="_Toc280868655"/>
      <w:bookmarkStart w:id="1052" w:name="_Toc267251424"/>
      <w:r>
        <w:rPr>
          <w:rFonts w:hint="eastAsia" w:ascii="宋体" w:hAnsi="宋体" w:cs="宋体"/>
          <w:color w:val="auto"/>
          <w:szCs w:val="21"/>
          <w:highlight w:val="none"/>
        </w:rPr>
        <w:t>.4材料与工程设备的保管与使用</w:t>
      </w:r>
    </w:p>
    <w:bookmarkEnd w:id="1032"/>
    <w:bookmarkEnd w:id="1033"/>
    <w:bookmarkEnd w:id="1034"/>
    <w:bookmarkEnd w:id="1035"/>
    <w:bookmarkEnd w:id="1036"/>
    <w:bookmarkEnd w:id="1037"/>
    <w:bookmarkEnd w:id="1038"/>
    <w:bookmarkEnd w:id="1039"/>
    <w:bookmarkEnd w:id="1040"/>
    <w:bookmarkEnd w:id="1041"/>
    <w:bookmarkEnd w:id="1042"/>
    <w:bookmarkEnd w:id="1043"/>
    <w:bookmarkEnd w:id="1044"/>
    <w:bookmarkEnd w:id="1045"/>
    <w:bookmarkEnd w:id="1046"/>
    <w:bookmarkEnd w:id="1047"/>
    <w:bookmarkEnd w:id="1048"/>
    <w:bookmarkEnd w:id="1049"/>
    <w:p w14:paraId="7DF75AD1">
      <w:pPr>
        <w:spacing w:line="480" w:lineRule="exact"/>
        <w:ind w:firstLine="420" w:firstLineChars="200"/>
        <w:jc w:val="left"/>
        <w:rPr>
          <w:rFonts w:ascii="宋体" w:hAnsi="宋体" w:cs="宋体"/>
          <w:color w:val="auto"/>
          <w:szCs w:val="21"/>
          <w:highlight w:val="none"/>
          <w:u w:val="single"/>
        </w:rPr>
      </w:pPr>
      <w:r>
        <w:rPr>
          <w:rFonts w:hint="eastAsia" w:ascii="宋体" w:hAnsi="宋体" w:cs="宋体"/>
          <w:color w:val="auto"/>
          <w:szCs w:val="21"/>
          <w:highlight w:val="none"/>
        </w:rPr>
        <w:t>8</w:t>
      </w:r>
      <w:bookmarkStart w:id="1053" w:name="_Toc292559878"/>
      <w:bookmarkStart w:id="1054" w:name="_Toc292559373"/>
      <w:bookmarkStart w:id="1055" w:name="_Toc296503168"/>
      <w:bookmarkStart w:id="1056" w:name="_Toc312678020"/>
      <w:bookmarkStart w:id="1057" w:name="_Toc312677494"/>
      <w:bookmarkStart w:id="1058" w:name="_Toc296346669"/>
      <w:bookmarkStart w:id="1059" w:name="_Toc304295557"/>
      <w:bookmarkStart w:id="1060" w:name="_Toc297048354"/>
      <w:bookmarkStart w:id="1061" w:name="_Toc300934980"/>
      <w:bookmarkStart w:id="1062" w:name="_Toc296891208"/>
      <w:bookmarkStart w:id="1063" w:name="_Toc296890996"/>
      <w:bookmarkStart w:id="1064" w:name="_Toc296347167"/>
      <w:bookmarkStart w:id="1065" w:name="_Toc296944507"/>
      <w:bookmarkStart w:id="1066" w:name="_Toc297216187"/>
      <w:bookmarkStart w:id="1067" w:name="_Toc297123528"/>
      <w:bookmarkStart w:id="1068" w:name="_Toc303539137"/>
      <w:bookmarkStart w:id="1069" w:name="_Toc297120468"/>
      <w:bookmarkStart w:id="1070" w:name="_Toc318581173"/>
      <w:r>
        <w:rPr>
          <w:rFonts w:hint="eastAsia" w:ascii="宋体" w:hAnsi="宋体" w:cs="宋体"/>
          <w:color w:val="auto"/>
          <w:szCs w:val="21"/>
          <w:highlight w:val="none"/>
        </w:rPr>
        <w:t>.4.1发包人供应的材料设备的保管费用的承担：</w:t>
      </w:r>
      <w:r>
        <w:rPr>
          <w:rFonts w:hint="eastAsia" w:ascii="宋体" w:hAnsi="宋体" w:cs="宋体"/>
          <w:color w:val="auto"/>
          <w:szCs w:val="21"/>
          <w:highlight w:val="none"/>
          <w:u w:val="single"/>
        </w:rPr>
        <w:t xml:space="preserve">     ／       </w:t>
      </w:r>
      <w:r>
        <w:rPr>
          <w:rFonts w:hint="eastAsia" w:ascii="宋体" w:hAnsi="宋体" w:cs="宋体"/>
          <w:color w:val="auto"/>
          <w:szCs w:val="21"/>
          <w:highlight w:val="none"/>
        </w:rPr>
        <w:t>。</w:t>
      </w:r>
      <w:bookmarkEnd w:id="1053"/>
      <w:bookmarkEnd w:id="1054"/>
    </w:p>
    <w:p w14:paraId="677E31BE">
      <w:pPr>
        <w:spacing w:line="480" w:lineRule="exact"/>
        <w:ind w:firstLine="420" w:firstLineChars="200"/>
        <w:rPr>
          <w:rFonts w:ascii="宋体" w:hAnsi="宋体" w:cs="宋体"/>
          <w:color w:val="auto"/>
          <w:szCs w:val="21"/>
          <w:highlight w:val="none"/>
        </w:rPr>
      </w:pPr>
      <w:r>
        <w:rPr>
          <w:rFonts w:hint="eastAsia" w:ascii="宋体" w:hAnsi="宋体" w:cs="宋体"/>
          <w:color w:val="auto"/>
          <w:szCs w:val="21"/>
          <w:highlight w:val="none"/>
        </w:rPr>
        <w:t>8.6 样品</w:t>
      </w:r>
    </w:p>
    <w:p w14:paraId="3B317346">
      <w:pPr>
        <w:autoSpaceDE w:val="0"/>
        <w:autoSpaceDN w:val="0"/>
        <w:adjustRightInd w:val="0"/>
        <w:spacing w:line="480" w:lineRule="exact"/>
        <w:ind w:firstLine="420" w:firstLineChars="200"/>
        <w:jc w:val="left"/>
        <w:rPr>
          <w:rFonts w:ascii="宋体" w:hAnsi="宋体" w:cs="宋体"/>
          <w:color w:val="auto"/>
          <w:kern w:val="0"/>
          <w:szCs w:val="21"/>
          <w:highlight w:val="none"/>
        </w:rPr>
      </w:pPr>
      <w:r>
        <w:rPr>
          <w:rFonts w:hint="eastAsia" w:ascii="宋体" w:hAnsi="宋体" w:cs="宋体"/>
          <w:color w:val="auto"/>
          <w:kern w:val="0"/>
          <w:szCs w:val="21"/>
          <w:highlight w:val="none"/>
        </w:rPr>
        <w:t>8.6.1</w:t>
      </w:r>
      <w:r>
        <w:rPr>
          <w:rFonts w:hint="eastAsia" w:ascii="宋体" w:hAnsi="宋体" w:cs="宋体"/>
          <w:color w:val="auto"/>
          <w:kern w:val="0"/>
          <w:szCs w:val="21"/>
          <w:highlight w:val="none"/>
        </w:rPr>
        <w:tab/>
      </w:r>
      <w:r>
        <w:rPr>
          <w:rFonts w:hint="eastAsia" w:ascii="宋体" w:hAnsi="宋体" w:cs="宋体"/>
          <w:color w:val="auto"/>
          <w:kern w:val="0"/>
          <w:szCs w:val="21"/>
          <w:highlight w:val="none"/>
        </w:rPr>
        <w:t>样品的报送与封存</w:t>
      </w:r>
    </w:p>
    <w:p w14:paraId="38B7E69F">
      <w:pPr>
        <w:autoSpaceDE w:val="0"/>
        <w:autoSpaceDN w:val="0"/>
        <w:adjustRightInd w:val="0"/>
        <w:spacing w:line="480" w:lineRule="exact"/>
        <w:ind w:firstLine="420" w:firstLineChars="200"/>
        <w:jc w:val="left"/>
        <w:rPr>
          <w:rFonts w:ascii="宋体" w:hAnsi="宋体" w:cs="宋体"/>
          <w:color w:val="auto"/>
          <w:szCs w:val="21"/>
          <w:highlight w:val="none"/>
          <w:u w:val="single"/>
        </w:rPr>
      </w:pPr>
      <w:r>
        <w:rPr>
          <w:rFonts w:hint="eastAsia" w:ascii="宋体" w:hAnsi="宋体" w:cs="宋体"/>
          <w:color w:val="auto"/>
          <w:kern w:val="0"/>
          <w:szCs w:val="21"/>
          <w:highlight w:val="none"/>
        </w:rPr>
        <w:t>需要承包人报送样品的材料或工程设备，样品的种类、名称、规格、数量要求：</w:t>
      </w:r>
      <w:bookmarkStart w:id="1071" w:name="OLE_LINK52"/>
      <w:bookmarkStart w:id="1072" w:name="OLE_LINK53"/>
      <w:r>
        <w:rPr>
          <w:rFonts w:hint="eastAsia" w:ascii="宋体" w:hAnsi="宋体" w:cs="宋体"/>
          <w:color w:val="auto"/>
          <w:kern w:val="0"/>
          <w:szCs w:val="21"/>
          <w:highlight w:val="none"/>
          <w:u w:val="single"/>
        </w:rPr>
        <w:t>本工程所需材料由承包人按中标报价的工程量清单中所列规格和型号自行购买，按相关规定该送检的，须检测合格后方可使用（检测费用由承包人承担）</w:t>
      </w:r>
      <w:bookmarkEnd w:id="1071"/>
      <w:bookmarkEnd w:id="1072"/>
      <w:r>
        <w:rPr>
          <w:rFonts w:hint="eastAsia" w:ascii="宋体" w:hAnsi="宋体" w:cs="宋体"/>
          <w:color w:val="auto"/>
          <w:kern w:val="0"/>
          <w:szCs w:val="21"/>
          <w:highlight w:val="none"/>
          <w:u w:val="single"/>
        </w:rPr>
        <w:t>；</w:t>
      </w:r>
      <w:bookmarkStart w:id="1073" w:name="OLE_LINK55"/>
      <w:bookmarkStart w:id="1074" w:name="OLE_LINK54"/>
      <w:r>
        <w:rPr>
          <w:rFonts w:hint="eastAsia" w:ascii="宋体" w:hAnsi="宋体" w:cs="宋体"/>
          <w:color w:val="auto"/>
          <w:kern w:val="0"/>
          <w:szCs w:val="21"/>
          <w:highlight w:val="none"/>
          <w:u w:val="single"/>
        </w:rPr>
        <w:t>在采购前，承包人应提前30天向发包人提供应使用未计价材料的规格、型号、数量、质量要求和主要技术参数资料，所用材料质量应符合设计及国家有关标准，严禁使用劣质材料。所有成品或半成品材料的生产和供应，必须经发包人和监理方认可，并出具相应的出厂合格证明；施工现场必须对备用材料进行质量检测、试验，严格执行国家制定的材料物质验收检测标准</w:t>
      </w:r>
      <w:r>
        <w:rPr>
          <w:rFonts w:hint="eastAsia" w:ascii="宋体" w:hAnsi="宋体" w:cs="宋体"/>
          <w:color w:val="auto"/>
          <w:szCs w:val="21"/>
          <w:highlight w:val="none"/>
        </w:rPr>
        <w:t>。</w:t>
      </w:r>
    </w:p>
    <w:bookmarkEnd w:id="1073"/>
    <w:bookmarkEnd w:id="1074"/>
    <w:p w14:paraId="576029DB">
      <w:pPr>
        <w:spacing w:line="480" w:lineRule="exact"/>
        <w:ind w:firstLine="420" w:firstLineChars="200"/>
        <w:rPr>
          <w:rFonts w:ascii="宋体" w:hAnsi="宋体" w:cs="宋体"/>
          <w:color w:val="auto"/>
          <w:szCs w:val="21"/>
          <w:highlight w:val="none"/>
        </w:rPr>
      </w:pPr>
      <w:r>
        <w:rPr>
          <w:rFonts w:hint="eastAsia" w:ascii="宋体" w:hAnsi="宋体" w:cs="宋体"/>
          <w:color w:val="auto"/>
          <w:szCs w:val="21"/>
          <w:highlight w:val="none"/>
        </w:rPr>
        <w:t>8.8 施工设备和临时设施</w:t>
      </w:r>
    </w:p>
    <w:p w14:paraId="19B7F5FD">
      <w:pPr>
        <w:autoSpaceDE w:val="0"/>
        <w:autoSpaceDN w:val="0"/>
        <w:adjustRightInd w:val="0"/>
        <w:spacing w:line="480" w:lineRule="exact"/>
        <w:ind w:firstLine="420" w:firstLineChars="200"/>
        <w:jc w:val="left"/>
        <w:rPr>
          <w:rFonts w:ascii="宋体" w:hAnsi="宋体" w:cs="宋体"/>
          <w:color w:val="auto"/>
          <w:szCs w:val="21"/>
          <w:highlight w:val="none"/>
        </w:rPr>
      </w:pPr>
      <w:r>
        <w:rPr>
          <w:rFonts w:hint="eastAsia" w:ascii="宋体" w:hAnsi="宋体" w:cs="宋体"/>
          <w:color w:val="auto"/>
          <w:szCs w:val="21"/>
          <w:highlight w:val="none"/>
        </w:rPr>
        <w:t>8.8.1 承包人提供的施工设备和临时设施</w:t>
      </w:r>
    </w:p>
    <w:p w14:paraId="6D848164">
      <w:pPr>
        <w:autoSpaceDE w:val="0"/>
        <w:autoSpaceDN w:val="0"/>
        <w:adjustRightInd w:val="0"/>
        <w:spacing w:line="480" w:lineRule="exact"/>
        <w:ind w:firstLine="420" w:firstLineChars="200"/>
        <w:jc w:val="left"/>
        <w:rPr>
          <w:rFonts w:ascii="宋体" w:hAnsi="宋体" w:cs="宋体"/>
          <w:color w:val="auto"/>
          <w:szCs w:val="21"/>
          <w:highlight w:val="none"/>
          <w:u w:val="single"/>
        </w:rPr>
      </w:pPr>
      <w:r>
        <w:rPr>
          <w:rFonts w:hint="eastAsia" w:ascii="宋体" w:hAnsi="宋体" w:cs="宋体"/>
          <w:color w:val="auto"/>
          <w:szCs w:val="21"/>
          <w:highlight w:val="none"/>
        </w:rPr>
        <w:t>关于修建临时设施费用承担的约定：</w:t>
      </w:r>
      <w:r>
        <w:rPr>
          <w:rFonts w:hint="eastAsia" w:ascii="宋体" w:hAnsi="宋体" w:cs="宋体"/>
          <w:color w:val="auto"/>
          <w:szCs w:val="21"/>
          <w:highlight w:val="none"/>
          <w:u w:val="single"/>
        </w:rPr>
        <w:t xml:space="preserve">包含在合同价中 ，由承包人承担，不另行计算   </w:t>
      </w:r>
      <w:r>
        <w:rPr>
          <w:rFonts w:hint="eastAsia" w:ascii="宋体" w:hAnsi="宋体" w:cs="宋体"/>
          <w:color w:val="auto"/>
          <w:szCs w:val="21"/>
          <w:highlight w:val="none"/>
        </w:rPr>
        <w:t>。</w:t>
      </w:r>
    </w:p>
    <w:bookmarkEnd w:id="1055"/>
    <w:bookmarkEnd w:id="1056"/>
    <w:bookmarkEnd w:id="1057"/>
    <w:bookmarkEnd w:id="1058"/>
    <w:bookmarkEnd w:id="1059"/>
    <w:bookmarkEnd w:id="1060"/>
    <w:bookmarkEnd w:id="1061"/>
    <w:bookmarkEnd w:id="1062"/>
    <w:bookmarkEnd w:id="1063"/>
    <w:bookmarkEnd w:id="1064"/>
    <w:bookmarkEnd w:id="1065"/>
    <w:bookmarkEnd w:id="1066"/>
    <w:bookmarkEnd w:id="1067"/>
    <w:bookmarkEnd w:id="1068"/>
    <w:bookmarkEnd w:id="1069"/>
    <w:bookmarkEnd w:id="1070"/>
    <w:p w14:paraId="6BDDA085">
      <w:pPr>
        <w:pStyle w:val="6"/>
        <w:spacing w:line="480" w:lineRule="exact"/>
        <w:jc w:val="left"/>
        <w:rPr>
          <w:rFonts w:ascii="宋体" w:hAnsi="宋体" w:cs="宋体"/>
          <w:b/>
          <w:color w:val="auto"/>
          <w:szCs w:val="21"/>
          <w:highlight w:val="none"/>
        </w:rPr>
      </w:pPr>
      <w:bookmarkStart w:id="1075" w:name="_Toc351203641"/>
      <w:r>
        <w:rPr>
          <w:rFonts w:hint="eastAsia" w:ascii="宋体" w:hAnsi="宋体" w:cs="宋体"/>
          <w:b/>
          <w:color w:val="auto"/>
          <w:szCs w:val="21"/>
          <w:highlight w:val="none"/>
        </w:rPr>
        <w:t>9</w:t>
      </w:r>
      <w:bookmarkEnd w:id="1050"/>
      <w:bookmarkEnd w:id="1051"/>
      <w:bookmarkEnd w:id="1052"/>
      <w:bookmarkStart w:id="1076" w:name="_Toc297216192"/>
      <w:bookmarkStart w:id="1077" w:name="_Toc297123533"/>
      <w:bookmarkStart w:id="1078" w:name="_Toc300934982"/>
      <w:bookmarkStart w:id="1079" w:name="_Toc312678021"/>
      <w:bookmarkStart w:id="1080" w:name="_Toc312677495"/>
      <w:bookmarkStart w:id="1081" w:name="_Toc303539139"/>
      <w:bookmarkStart w:id="1082" w:name="_Toc304295559"/>
      <w:bookmarkStart w:id="1083" w:name="_Toc296347172"/>
      <w:bookmarkStart w:id="1084" w:name="_Toc296346674"/>
      <w:bookmarkStart w:id="1085" w:name="_Toc296503173"/>
      <w:bookmarkStart w:id="1086" w:name="_Toc296891213"/>
      <w:bookmarkStart w:id="1087" w:name="_Toc292559883"/>
      <w:bookmarkStart w:id="1088" w:name="_Toc296944512"/>
      <w:bookmarkStart w:id="1089" w:name="_Toc267251427"/>
      <w:bookmarkStart w:id="1090" w:name="_Toc292559378"/>
      <w:bookmarkStart w:id="1091" w:name="_Toc267251428"/>
      <w:bookmarkStart w:id="1092" w:name="_Toc296891001"/>
      <w:bookmarkStart w:id="1093" w:name="_Toc297048359"/>
      <w:bookmarkStart w:id="1094" w:name="_Toc297120473"/>
      <w:r>
        <w:rPr>
          <w:rFonts w:hint="eastAsia" w:ascii="宋体" w:hAnsi="宋体" w:cs="宋体"/>
          <w:b/>
          <w:color w:val="auto"/>
          <w:szCs w:val="21"/>
          <w:highlight w:val="none"/>
        </w:rPr>
        <w:t>. 试验与检验</w:t>
      </w:r>
      <w:bookmarkEnd w:id="1075"/>
    </w:p>
    <w:bookmarkEnd w:id="1076"/>
    <w:bookmarkEnd w:id="1077"/>
    <w:bookmarkEnd w:id="1078"/>
    <w:bookmarkEnd w:id="1079"/>
    <w:bookmarkEnd w:id="1080"/>
    <w:bookmarkEnd w:id="1081"/>
    <w:bookmarkEnd w:id="1082"/>
    <w:p w14:paraId="2F33FA98">
      <w:pPr>
        <w:spacing w:line="480" w:lineRule="exact"/>
        <w:ind w:firstLine="420" w:firstLineChars="200"/>
        <w:rPr>
          <w:rFonts w:ascii="宋体" w:hAnsi="宋体" w:cs="宋体"/>
          <w:color w:val="auto"/>
          <w:szCs w:val="21"/>
          <w:highlight w:val="none"/>
        </w:rPr>
      </w:pPr>
      <w:r>
        <w:rPr>
          <w:rFonts w:hint="eastAsia" w:ascii="宋体" w:hAnsi="宋体" w:cs="宋体"/>
          <w:color w:val="auto"/>
          <w:szCs w:val="21"/>
          <w:highlight w:val="none"/>
        </w:rPr>
        <w:t>9</w:t>
      </w:r>
      <w:bookmarkStart w:id="1095" w:name="_Toc297216193"/>
      <w:bookmarkStart w:id="1096" w:name="_Toc304295560"/>
      <w:bookmarkStart w:id="1097" w:name="_Toc312678022"/>
      <w:bookmarkStart w:id="1098" w:name="_Toc303539140"/>
      <w:bookmarkStart w:id="1099" w:name="_Toc300934983"/>
      <w:bookmarkStart w:id="1100" w:name="_Toc297123534"/>
      <w:bookmarkStart w:id="1101" w:name="_Toc312677496"/>
      <w:r>
        <w:rPr>
          <w:rFonts w:hint="eastAsia" w:ascii="宋体" w:hAnsi="宋体" w:cs="宋体"/>
          <w:color w:val="auto"/>
          <w:szCs w:val="21"/>
          <w:highlight w:val="none"/>
        </w:rPr>
        <w:t>.1试验设备与试验人员</w:t>
      </w:r>
    </w:p>
    <w:bookmarkEnd w:id="1095"/>
    <w:bookmarkEnd w:id="1096"/>
    <w:bookmarkEnd w:id="1097"/>
    <w:bookmarkEnd w:id="1098"/>
    <w:bookmarkEnd w:id="1099"/>
    <w:bookmarkEnd w:id="1100"/>
    <w:bookmarkEnd w:id="1101"/>
    <w:p w14:paraId="70D8F4C4">
      <w:pPr>
        <w:spacing w:line="480" w:lineRule="exact"/>
        <w:ind w:firstLine="420" w:firstLineChars="200"/>
        <w:jc w:val="left"/>
        <w:rPr>
          <w:rFonts w:ascii="宋体" w:hAnsi="宋体" w:cs="宋体"/>
          <w:color w:val="auto"/>
          <w:szCs w:val="21"/>
          <w:highlight w:val="none"/>
        </w:rPr>
      </w:pPr>
      <w:r>
        <w:rPr>
          <w:rFonts w:hint="eastAsia" w:ascii="宋体" w:hAnsi="宋体" w:cs="宋体"/>
          <w:color w:val="auto"/>
          <w:szCs w:val="21"/>
          <w:highlight w:val="none"/>
        </w:rPr>
        <w:t>9</w:t>
      </w:r>
      <w:bookmarkStart w:id="1102" w:name="_Toc303539141"/>
      <w:bookmarkStart w:id="1103" w:name="_Toc297123535"/>
      <w:bookmarkStart w:id="1104" w:name="_Toc300934984"/>
      <w:bookmarkStart w:id="1105" w:name="_Toc312677497"/>
      <w:bookmarkStart w:id="1106" w:name="_Toc304295561"/>
      <w:bookmarkStart w:id="1107" w:name="_Toc297216194"/>
      <w:bookmarkStart w:id="1108" w:name="_Toc312678023"/>
      <w:bookmarkStart w:id="1109" w:name="_Toc318581174"/>
      <w:r>
        <w:rPr>
          <w:rFonts w:hint="eastAsia" w:ascii="宋体" w:hAnsi="宋体" w:cs="宋体"/>
          <w:color w:val="auto"/>
          <w:szCs w:val="21"/>
          <w:highlight w:val="none"/>
        </w:rPr>
        <w:t>.1.2 试验设备</w:t>
      </w:r>
    </w:p>
    <w:p w14:paraId="194EC58B">
      <w:pPr>
        <w:spacing w:line="480" w:lineRule="exact"/>
        <w:ind w:firstLine="420" w:firstLineChars="200"/>
        <w:jc w:val="left"/>
        <w:rPr>
          <w:rFonts w:ascii="宋体" w:hAnsi="宋体" w:cs="宋体"/>
          <w:color w:val="auto"/>
          <w:szCs w:val="21"/>
          <w:highlight w:val="none"/>
          <w:u w:val="single"/>
        </w:rPr>
      </w:pPr>
      <w:r>
        <w:rPr>
          <w:rFonts w:hint="eastAsia" w:ascii="宋体" w:hAnsi="宋体" w:cs="宋体"/>
          <w:color w:val="auto"/>
          <w:szCs w:val="21"/>
          <w:highlight w:val="none"/>
        </w:rPr>
        <w:t>施工现场需要配置的试验场所：</w:t>
      </w:r>
      <w:bookmarkEnd w:id="1102"/>
      <w:bookmarkEnd w:id="1103"/>
      <w:bookmarkEnd w:id="1104"/>
      <w:bookmarkEnd w:id="1105"/>
      <w:bookmarkEnd w:id="1106"/>
      <w:bookmarkEnd w:id="1107"/>
      <w:bookmarkEnd w:id="1108"/>
      <w:bookmarkStart w:id="1110" w:name="_Toc303539142"/>
      <w:bookmarkStart w:id="1111" w:name="_Toc297123536"/>
      <w:bookmarkStart w:id="1112" w:name="_Toc304295562"/>
      <w:bookmarkStart w:id="1113" w:name="_Toc312677498"/>
      <w:bookmarkStart w:id="1114" w:name="_Toc300934985"/>
      <w:bookmarkStart w:id="1115" w:name="_Toc312678024"/>
      <w:bookmarkStart w:id="1116" w:name="_Toc297216195"/>
      <w:r>
        <w:rPr>
          <w:rFonts w:hint="eastAsia" w:ascii="宋体" w:hAnsi="宋体" w:cs="宋体"/>
          <w:color w:val="auto"/>
          <w:szCs w:val="21"/>
          <w:highlight w:val="none"/>
          <w:u w:val="single"/>
        </w:rPr>
        <w:t xml:space="preserve">      ／    </w:t>
      </w:r>
      <w:r>
        <w:rPr>
          <w:rFonts w:hint="eastAsia" w:ascii="宋体" w:hAnsi="宋体" w:cs="宋体"/>
          <w:color w:val="auto"/>
          <w:szCs w:val="21"/>
          <w:highlight w:val="none"/>
        </w:rPr>
        <w:t>。</w:t>
      </w:r>
    </w:p>
    <w:p w14:paraId="33CFBFFD">
      <w:pPr>
        <w:spacing w:line="480" w:lineRule="exact"/>
        <w:ind w:firstLine="420" w:firstLineChars="200"/>
        <w:jc w:val="left"/>
        <w:rPr>
          <w:rFonts w:ascii="宋体" w:hAnsi="宋体" w:cs="宋体"/>
          <w:color w:val="auto"/>
          <w:szCs w:val="21"/>
          <w:highlight w:val="none"/>
          <w:u w:val="single"/>
        </w:rPr>
      </w:pPr>
      <w:r>
        <w:rPr>
          <w:rFonts w:hint="eastAsia" w:ascii="宋体" w:hAnsi="宋体" w:cs="宋体"/>
          <w:color w:val="auto"/>
          <w:szCs w:val="21"/>
          <w:highlight w:val="none"/>
        </w:rPr>
        <w:t>施工现场需要配备的试验设备：</w:t>
      </w:r>
      <w:r>
        <w:rPr>
          <w:rFonts w:hint="eastAsia" w:ascii="宋体" w:hAnsi="宋体" w:cs="宋体"/>
          <w:color w:val="auto"/>
          <w:szCs w:val="21"/>
          <w:highlight w:val="none"/>
          <w:u w:val="single"/>
        </w:rPr>
        <w:t xml:space="preserve">       ／   </w:t>
      </w:r>
      <w:r>
        <w:rPr>
          <w:rFonts w:hint="eastAsia" w:ascii="宋体" w:hAnsi="宋体" w:cs="宋体"/>
          <w:color w:val="auto"/>
          <w:szCs w:val="21"/>
          <w:highlight w:val="none"/>
        </w:rPr>
        <w:t>。</w:t>
      </w:r>
    </w:p>
    <w:p w14:paraId="5DDC3ADD">
      <w:pPr>
        <w:spacing w:line="480" w:lineRule="exact"/>
        <w:ind w:firstLine="420" w:firstLineChars="200"/>
        <w:jc w:val="left"/>
        <w:rPr>
          <w:rFonts w:ascii="宋体" w:hAnsi="宋体" w:cs="宋体"/>
          <w:color w:val="auto"/>
          <w:szCs w:val="21"/>
          <w:highlight w:val="none"/>
          <w:u w:val="single"/>
        </w:rPr>
      </w:pPr>
      <w:r>
        <w:rPr>
          <w:rFonts w:hint="eastAsia" w:ascii="宋体" w:hAnsi="宋体" w:cs="宋体"/>
          <w:color w:val="auto"/>
          <w:szCs w:val="21"/>
          <w:highlight w:val="none"/>
        </w:rPr>
        <w:t>施工现场需要具备的其他试验条件：</w:t>
      </w:r>
      <w:r>
        <w:rPr>
          <w:rFonts w:hint="eastAsia" w:ascii="宋体" w:hAnsi="宋体" w:cs="宋体"/>
          <w:color w:val="auto"/>
          <w:szCs w:val="21"/>
          <w:highlight w:val="none"/>
          <w:u w:val="single"/>
        </w:rPr>
        <w:t xml:space="preserve">     ／   </w:t>
      </w:r>
      <w:r>
        <w:rPr>
          <w:rFonts w:hint="eastAsia" w:ascii="宋体" w:hAnsi="宋体" w:cs="宋体"/>
          <w:color w:val="auto"/>
          <w:szCs w:val="21"/>
          <w:highlight w:val="none"/>
        </w:rPr>
        <w:t>。</w:t>
      </w:r>
    </w:p>
    <w:p w14:paraId="1D6974F7">
      <w:pPr>
        <w:spacing w:line="480" w:lineRule="exact"/>
        <w:ind w:firstLine="420" w:firstLineChars="200"/>
        <w:rPr>
          <w:rFonts w:ascii="宋体" w:hAnsi="宋体" w:cs="宋体"/>
          <w:color w:val="auto"/>
          <w:szCs w:val="21"/>
          <w:highlight w:val="none"/>
        </w:rPr>
      </w:pPr>
      <w:r>
        <w:rPr>
          <w:rFonts w:hint="eastAsia" w:ascii="宋体" w:hAnsi="宋体" w:cs="宋体"/>
          <w:color w:val="auto"/>
          <w:szCs w:val="21"/>
          <w:highlight w:val="none"/>
        </w:rPr>
        <w:t xml:space="preserve">9.4 现场工艺试验 </w:t>
      </w:r>
    </w:p>
    <w:p w14:paraId="70397A8C">
      <w:pPr>
        <w:spacing w:line="480" w:lineRule="exact"/>
        <w:ind w:firstLine="420" w:firstLineChars="200"/>
        <w:jc w:val="left"/>
        <w:rPr>
          <w:rFonts w:ascii="宋体" w:hAnsi="宋体" w:cs="宋体"/>
          <w:color w:val="auto"/>
          <w:szCs w:val="21"/>
          <w:highlight w:val="none"/>
          <w:u w:val="single"/>
        </w:rPr>
      </w:pPr>
      <w:r>
        <w:rPr>
          <w:rFonts w:hint="eastAsia" w:ascii="宋体" w:hAnsi="宋体" w:cs="宋体"/>
          <w:color w:val="auto"/>
          <w:szCs w:val="21"/>
          <w:highlight w:val="none"/>
        </w:rPr>
        <w:t>现场工艺试验的有关约定：</w:t>
      </w:r>
      <w:r>
        <w:rPr>
          <w:rFonts w:hint="eastAsia" w:ascii="宋体" w:hAnsi="宋体" w:cs="宋体"/>
          <w:color w:val="auto"/>
          <w:szCs w:val="21"/>
          <w:highlight w:val="none"/>
          <w:u w:val="single"/>
        </w:rPr>
        <w:t xml:space="preserve">         ／     </w:t>
      </w:r>
      <w:r>
        <w:rPr>
          <w:rFonts w:hint="eastAsia" w:ascii="宋体" w:hAnsi="宋体" w:cs="宋体"/>
          <w:color w:val="auto"/>
          <w:szCs w:val="21"/>
          <w:highlight w:val="none"/>
        </w:rPr>
        <w:t>。</w:t>
      </w:r>
      <w:bookmarkEnd w:id="1109"/>
      <w:bookmarkEnd w:id="1110"/>
      <w:bookmarkEnd w:id="1111"/>
      <w:bookmarkEnd w:id="1112"/>
      <w:bookmarkEnd w:id="1113"/>
      <w:bookmarkEnd w:id="1114"/>
      <w:bookmarkEnd w:id="1115"/>
      <w:bookmarkEnd w:id="1116"/>
      <w:bookmarkStart w:id="1117" w:name="_Toc351203642"/>
    </w:p>
    <w:p w14:paraId="26BDDE2F">
      <w:pPr>
        <w:pStyle w:val="6"/>
        <w:spacing w:line="480" w:lineRule="exact"/>
        <w:jc w:val="left"/>
        <w:rPr>
          <w:rFonts w:ascii="宋体" w:hAnsi="宋体" w:cs="宋体"/>
          <w:b/>
          <w:color w:val="auto"/>
          <w:szCs w:val="21"/>
          <w:highlight w:val="none"/>
        </w:rPr>
      </w:pPr>
      <w:r>
        <w:rPr>
          <w:rFonts w:hint="eastAsia" w:ascii="宋体" w:hAnsi="宋体" w:cs="宋体"/>
          <w:b/>
          <w:color w:val="auto"/>
          <w:szCs w:val="21"/>
          <w:highlight w:val="none"/>
        </w:rPr>
        <w:t>1</w:t>
      </w:r>
      <w:bookmarkEnd w:id="1083"/>
      <w:bookmarkEnd w:id="1084"/>
      <w:bookmarkEnd w:id="1085"/>
      <w:bookmarkEnd w:id="1086"/>
      <w:bookmarkEnd w:id="1087"/>
      <w:bookmarkEnd w:id="1088"/>
      <w:bookmarkEnd w:id="1089"/>
      <w:bookmarkEnd w:id="1090"/>
      <w:bookmarkEnd w:id="1091"/>
      <w:bookmarkEnd w:id="1092"/>
      <w:bookmarkEnd w:id="1093"/>
      <w:bookmarkEnd w:id="1094"/>
      <w:bookmarkStart w:id="1118" w:name="_Toc297216199"/>
      <w:bookmarkStart w:id="1119" w:name="_Toc292559903"/>
      <w:bookmarkStart w:id="1120" w:name="_Toc296503193"/>
      <w:bookmarkStart w:id="1121" w:name="_Toc296891233"/>
      <w:bookmarkStart w:id="1122" w:name="_Toc297048379"/>
      <w:bookmarkStart w:id="1123" w:name="_Toc297120493"/>
      <w:bookmarkStart w:id="1124" w:name="_Toc296944532"/>
      <w:bookmarkStart w:id="1125" w:name="_Toc300934989"/>
      <w:bookmarkStart w:id="1126" w:name="_Toc303539146"/>
      <w:bookmarkStart w:id="1127" w:name="_Toc296891021"/>
      <w:bookmarkStart w:id="1128" w:name="_Toc297123540"/>
      <w:bookmarkStart w:id="1129" w:name="_Toc296346694"/>
      <w:bookmarkStart w:id="1130" w:name="_Toc292559398"/>
      <w:bookmarkStart w:id="1131" w:name="_Toc304295566"/>
      <w:bookmarkStart w:id="1132" w:name="_Toc296347192"/>
      <w:bookmarkStart w:id="1133" w:name="_Toc312678025"/>
      <w:bookmarkStart w:id="1134" w:name="_Toc312677499"/>
      <w:bookmarkStart w:id="1135" w:name="_Toc267251441"/>
      <w:bookmarkStart w:id="1136" w:name="_Toc267251439"/>
      <w:bookmarkStart w:id="1137" w:name="_Toc267251440"/>
      <w:bookmarkStart w:id="1138" w:name="_Toc267251437"/>
      <w:bookmarkStart w:id="1139" w:name="_Toc267251435"/>
      <w:bookmarkStart w:id="1140" w:name="_Toc267251433"/>
      <w:bookmarkStart w:id="1141" w:name="_Toc267251442"/>
      <w:r>
        <w:rPr>
          <w:rFonts w:hint="eastAsia" w:ascii="宋体" w:hAnsi="宋体" w:cs="宋体"/>
          <w:b/>
          <w:color w:val="auto"/>
          <w:szCs w:val="21"/>
          <w:highlight w:val="none"/>
        </w:rPr>
        <w:t>0. 变更</w:t>
      </w:r>
      <w:bookmarkEnd w:id="1117"/>
      <w:bookmarkEnd w:id="1118"/>
      <w:bookmarkEnd w:id="1119"/>
      <w:bookmarkEnd w:id="1120"/>
      <w:bookmarkEnd w:id="1121"/>
      <w:bookmarkEnd w:id="1122"/>
      <w:bookmarkEnd w:id="1123"/>
      <w:bookmarkEnd w:id="1124"/>
      <w:bookmarkEnd w:id="1125"/>
      <w:bookmarkEnd w:id="1126"/>
      <w:bookmarkEnd w:id="1127"/>
      <w:bookmarkEnd w:id="1128"/>
      <w:bookmarkEnd w:id="1129"/>
      <w:bookmarkEnd w:id="1130"/>
      <w:bookmarkEnd w:id="1131"/>
      <w:bookmarkEnd w:id="1132"/>
    </w:p>
    <w:bookmarkEnd w:id="1133"/>
    <w:bookmarkEnd w:id="1134"/>
    <w:p w14:paraId="6D06C304">
      <w:pPr>
        <w:spacing w:line="480" w:lineRule="exact"/>
        <w:ind w:firstLine="420" w:firstLineChars="200"/>
        <w:rPr>
          <w:rFonts w:ascii="宋体" w:hAnsi="宋体" w:cs="宋体"/>
          <w:color w:val="auto"/>
          <w:szCs w:val="21"/>
          <w:highlight w:val="none"/>
        </w:rPr>
      </w:pPr>
      <w:r>
        <w:rPr>
          <w:rFonts w:hint="eastAsia" w:ascii="宋体" w:hAnsi="宋体" w:cs="宋体"/>
          <w:color w:val="auto"/>
          <w:szCs w:val="21"/>
          <w:highlight w:val="none"/>
        </w:rPr>
        <w:t>1</w:t>
      </w:r>
      <w:bookmarkStart w:id="1142" w:name="_Toc300934990"/>
      <w:bookmarkStart w:id="1143" w:name="_Toc312677500"/>
      <w:bookmarkStart w:id="1144" w:name="_Toc297048380"/>
      <w:bookmarkStart w:id="1145" w:name="_Toc297120494"/>
      <w:bookmarkStart w:id="1146" w:name="_Toc303539147"/>
      <w:bookmarkStart w:id="1147" w:name="_Toc292559904"/>
      <w:bookmarkStart w:id="1148" w:name="_Toc297123541"/>
      <w:bookmarkStart w:id="1149" w:name="_Toc296891234"/>
      <w:bookmarkStart w:id="1150" w:name="_Toc304295567"/>
      <w:bookmarkStart w:id="1151" w:name="_Toc297216200"/>
      <w:bookmarkStart w:id="1152" w:name="_Toc292559399"/>
      <w:bookmarkStart w:id="1153" w:name="_Toc296944533"/>
      <w:bookmarkStart w:id="1154" w:name="_Toc296347193"/>
      <w:bookmarkStart w:id="1155" w:name="_Toc296346695"/>
      <w:bookmarkStart w:id="1156" w:name="_Toc296503194"/>
      <w:bookmarkStart w:id="1157" w:name="_Toc312678026"/>
      <w:bookmarkStart w:id="1158" w:name="_Toc296891022"/>
      <w:r>
        <w:rPr>
          <w:rFonts w:hint="eastAsia" w:ascii="宋体" w:hAnsi="宋体" w:cs="宋体"/>
          <w:color w:val="auto"/>
          <w:szCs w:val="21"/>
          <w:highlight w:val="none"/>
        </w:rPr>
        <w:t>0.1变更的范围</w:t>
      </w:r>
    </w:p>
    <w:p w14:paraId="231546F6">
      <w:pPr>
        <w:spacing w:line="480" w:lineRule="exact"/>
        <w:ind w:firstLine="600"/>
        <w:jc w:val="left"/>
        <w:rPr>
          <w:rFonts w:ascii="宋体" w:hAnsi="宋体" w:cs="宋体"/>
          <w:color w:val="auto"/>
          <w:szCs w:val="21"/>
          <w:highlight w:val="none"/>
          <w:u w:val="single"/>
        </w:rPr>
      </w:pPr>
      <w:r>
        <w:rPr>
          <w:rFonts w:hint="eastAsia" w:ascii="宋体" w:hAnsi="宋体" w:cs="宋体"/>
          <w:color w:val="auto"/>
          <w:szCs w:val="21"/>
          <w:highlight w:val="none"/>
        </w:rPr>
        <w:t>关于变更的范围的约定：</w:t>
      </w:r>
      <w:r>
        <w:rPr>
          <w:rFonts w:hint="eastAsia" w:ascii="宋体" w:hAnsi="宋体" w:cs="宋体"/>
          <w:color w:val="auto"/>
          <w:szCs w:val="21"/>
          <w:highlight w:val="none"/>
          <w:u w:val="single"/>
        </w:rPr>
        <w:t xml:space="preserve">  按合同通用条款10.1执行</w:t>
      </w:r>
      <w:r>
        <w:rPr>
          <w:rFonts w:hint="eastAsia" w:ascii="宋体" w:hAnsi="宋体" w:cs="宋体"/>
          <w:color w:val="auto"/>
          <w:szCs w:val="21"/>
          <w:highlight w:val="none"/>
        </w:rPr>
        <w:t>。</w:t>
      </w:r>
    </w:p>
    <w:p w14:paraId="724C9984">
      <w:pPr>
        <w:spacing w:line="480" w:lineRule="exact"/>
        <w:ind w:firstLine="420" w:firstLineChars="200"/>
        <w:rPr>
          <w:rFonts w:ascii="宋体" w:hAnsi="宋体" w:cs="宋体"/>
          <w:color w:val="auto"/>
          <w:szCs w:val="21"/>
          <w:highlight w:val="none"/>
        </w:rPr>
      </w:pPr>
      <w:r>
        <w:rPr>
          <w:rFonts w:hint="eastAsia" w:ascii="宋体" w:hAnsi="宋体" w:cs="宋体"/>
          <w:color w:val="auto"/>
          <w:szCs w:val="21"/>
          <w:highlight w:val="none"/>
        </w:rPr>
        <w:t>10.4 变更估价</w:t>
      </w:r>
    </w:p>
    <w:p w14:paraId="02559DFA">
      <w:pPr>
        <w:spacing w:line="480" w:lineRule="exact"/>
        <w:ind w:firstLine="420" w:firstLineChars="200"/>
        <w:jc w:val="left"/>
        <w:rPr>
          <w:rFonts w:ascii="宋体" w:hAnsi="宋体" w:cs="宋体"/>
          <w:color w:val="auto"/>
          <w:szCs w:val="21"/>
          <w:highlight w:val="none"/>
        </w:rPr>
      </w:pPr>
      <w:r>
        <w:rPr>
          <w:rFonts w:hint="eastAsia" w:ascii="宋体" w:hAnsi="宋体" w:cs="宋体"/>
          <w:color w:val="auto"/>
          <w:szCs w:val="21"/>
          <w:highlight w:val="none"/>
        </w:rPr>
        <w:t>10.4.1 变更估价原则</w:t>
      </w:r>
    </w:p>
    <w:p w14:paraId="064DAEAD">
      <w:pPr>
        <w:autoSpaceDE w:val="0"/>
        <w:autoSpaceDN w:val="0"/>
        <w:adjustRightInd w:val="0"/>
        <w:spacing w:line="480" w:lineRule="exact"/>
        <w:ind w:firstLine="420" w:firstLineChars="200"/>
        <w:jc w:val="left"/>
        <w:rPr>
          <w:rFonts w:ascii="宋体" w:hAnsi="宋体" w:cs="宋体"/>
          <w:color w:val="auto"/>
          <w:kern w:val="0"/>
          <w:szCs w:val="21"/>
          <w:highlight w:val="none"/>
        </w:rPr>
      </w:pPr>
      <w:r>
        <w:rPr>
          <w:rFonts w:hint="eastAsia" w:ascii="宋体" w:hAnsi="宋体" w:cs="宋体"/>
          <w:color w:val="auto"/>
          <w:szCs w:val="21"/>
          <w:highlight w:val="none"/>
        </w:rPr>
        <w:t>关于变更估价的约定:</w:t>
      </w:r>
      <w:r>
        <w:rPr>
          <w:rFonts w:hint="eastAsia" w:ascii="宋体" w:hAnsi="宋体" w:cs="宋体"/>
          <w:color w:val="auto"/>
          <w:kern w:val="0"/>
          <w:szCs w:val="21"/>
          <w:highlight w:val="none"/>
        </w:rPr>
        <w:t xml:space="preserve"> （1）已标价工程量清单或预算书有相同项目的，按照相同项目单价认定。</w:t>
      </w:r>
    </w:p>
    <w:p w14:paraId="587C6802">
      <w:pPr>
        <w:snapToGrid w:val="0"/>
        <w:spacing w:line="480" w:lineRule="exact"/>
        <w:ind w:firstLine="420" w:firstLineChars="200"/>
        <w:rPr>
          <w:rFonts w:ascii="宋体" w:hAnsi="宋体" w:cs="宋体"/>
          <w:color w:val="auto"/>
          <w:kern w:val="0"/>
          <w:szCs w:val="21"/>
          <w:highlight w:val="none"/>
        </w:rPr>
      </w:pPr>
      <w:r>
        <w:rPr>
          <w:rFonts w:hint="eastAsia" w:ascii="宋体" w:hAnsi="宋体" w:cs="宋体"/>
          <w:color w:val="auto"/>
          <w:kern w:val="0"/>
          <w:szCs w:val="21"/>
          <w:highlight w:val="none"/>
        </w:rPr>
        <w:t>（2）已标价工程量清单或预算书中无相同项目，但有类似项目的，</w:t>
      </w:r>
      <w:r>
        <w:rPr>
          <w:rFonts w:hint="eastAsia" w:ascii="宋体" w:hAnsi="宋体" w:cs="宋体"/>
          <w:color w:val="auto"/>
          <w:szCs w:val="21"/>
          <w:highlight w:val="none"/>
        </w:rPr>
        <w:t>参照类似项目的单价对工程变更引起的差异部分进行调整认定。</w:t>
      </w:r>
    </w:p>
    <w:p w14:paraId="0173B635">
      <w:pPr>
        <w:autoSpaceDE w:val="0"/>
        <w:autoSpaceDN w:val="0"/>
        <w:adjustRightInd w:val="0"/>
        <w:spacing w:line="500" w:lineRule="exact"/>
        <w:ind w:firstLine="420" w:firstLineChars="200"/>
        <w:jc w:val="left"/>
        <w:rPr>
          <w:rFonts w:ascii="宋体" w:hAnsi="宋体" w:cs="宋体"/>
          <w:color w:val="auto"/>
          <w:kern w:val="0"/>
          <w:szCs w:val="21"/>
          <w:highlight w:val="none"/>
        </w:rPr>
      </w:pPr>
      <w:r>
        <w:rPr>
          <w:rFonts w:hint="eastAsia" w:ascii="宋体" w:hAnsi="宋体" w:cs="宋体"/>
          <w:color w:val="auto"/>
          <w:kern w:val="0"/>
          <w:szCs w:val="21"/>
          <w:highlight w:val="none"/>
        </w:rPr>
        <w:t>（3）已标价工程量清单中没有相同子项或类似子项的变更部分按照</w:t>
      </w:r>
      <w:r>
        <w:rPr>
          <w:rFonts w:hint="eastAsia" w:ascii="宋体" w:hAnsi="宋体" w:cs="宋体"/>
          <w:color w:val="auto"/>
          <w:szCs w:val="21"/>
          <w:highlight w:val="none"/>
        </w:rPr>
        <w:t>《重庆市房屋建筑与装饰工程计价定额》（CQJZZSDE-2018）、《重庆市绿色建筑工程计价定额》（CQLSJZDE-2018）、《重庆市市政工程计价定额》（CQSDDE-2018）、《重庆市园林绿化工程计价定额》（CQYLLHDE-2018）、《重庆市房屋修缮工程计价定额》（CQXSDE-2018）、《重庆市仿古建筑工程计价定额》（CQSDDE-2018）、《重庆市通用安装工程计价定额》（CQAZDE-2018）、《重庆市建设工程费用定额》（CQFYDE-2018</w:t>
      </w:r>
      <w:r>
        <w:rPr>
          <w:rFonts w:hint="eastAsia" w:ascii="宋体" w:hAnsi="宋体" w:cs="宋体"/>
          <w:color w:val="auto"/>
          <w:kern w:val="0"/>
          <w:szCs w:val="21"/>
          <w:highlight w:val="none"/>
        </w:rPr>
        <w:t>）、重庆市城乡建设委员会《关于适用增值税新税率调整建设工程计价依据的通知》（渝建〔2019〕143号）、</w:t>
      </w:r>
      <w:r>
        <w:rPr>
          <w:rFonts w:hint="eastAsia" w:ascii="宋体" w:hAnsi="宋体"/>
          <w:color w:val="auto"/>
          <w:szCs w:val="21"/>
          <w:highlight w:val="none"/>
          <w:u w:val="single"/>
        </w:rPr>
        <w:t>《重庆市住房和城乡建设委员会关于调整建设施工现场形象品质提升安全文明施工费记取的通知》（渝建管〔2020〕97号）</w:t>
      </w:r>
      <w:r>
        <w:rPr>
          <w:rFonts w:hint="eastAsia" w:ascii="宋体" w:hAnsi="宋体" w:cs="宋体"/>
          <w:color w:val="auto"/>
          <w:kern w:val="0"/>
          <w:szCs w:val="21"/>
          <w:highlight w:val="none"/>
        </w:rPr>
        <w:t>及相关配套文件进行编制，按中标总价与招标最高总限价的下浮比例同比例下浮后的单价为该子项的暂定综合单价。其中竞选报价中已有的人工费、材料费、机械费单价按竞选单价计算，没有的人工、材料按施工同期《涪陵工程造价信息》发布的项目价格计算，如《涪陵工程造价信息》未涉及的价格按同期《重庆工程造价信息》发布的项目价格计算，以上都未涉及的则由发包方和监理方按质认价。其中未计价材料价格、材料价差、安全文明施工费、税金不作下浮。</w:t>
      </w:r>
    </w:p>
    <w:p w14:paraId="38B8D651">
      <w:pPr>
        <w:spacing w:line="480" w:lineRule="exact"/>
        <w:ind w:firstLine="420" w:firstLineChars="200"/>
        <w:rPr>
          <w:rFonts w:ascii="宋体" w:hAnsi="宋体" w:cs="宋体"/>
          <w:color w:val="auto"/>
          <w:szCs w:val="21"/>
          <w:highlight w:val="none"/>
        </w:rPr>
      </w:pPr>
      <w:r>
        <w:rPr>
          <w:rFonts w:hint="eastAsia" w:ascii="宋体" w:hAnsi="宋体" w:cs="宋体"/>
          <w:color w:val="auto"/>
          <w:szCs w:val="21"/>
          <w:highlight w:val="none"/>
        </w:rPr>
        <w:t>1</w:t>
      </w:r>
      <w:bookmarkEnd w:id="1142"/>
      <w:bookmarkEnd w:id="1143"/>
      <w:bookmarkEnd w:id="1144"/>
      <w:bookmarkEnd w:id="1145"/>
      <w:bookmarkEnd w:id="1146"/>
      <w:bookmarkEnd w:id="1147"/>
      <w:bookmarkEnd w:id="1148"/>
      <w:bookmarkEnd w:id="1149"/>
      <w:bookmarkEnd w:id="1150"/>
      <w:bookmarkEnd w:id="1151"/>
      <w:bookmarkEnd w:id="1152"/>
      <w:bookmarkEnd w:id="1153"/>
      <w:bookmarkEnd w:id="1154"/>
      <w:bookmarkEnd w:id="1155"/>
      <w:bookmarkEnd w:id="1156"/>
      <w:bookmarkEnd w:id="1157"/>
      <w:bookmarkEnd w:id="1158"/>
      <w:bookmarkStart w:id="1159" w:name="_Toc300934993"/>
      <w:bookmarkStart w:id="1160" w:name="_Toc296944536"/>
      <w:bookmarkStart w:id="1161" w:name="_Toc296503197"/>
      <w:bookmarkStart w:id="1162" w:name="_Toc296891025"/>
      <w:bookmarkStart w:id="1163" w:name="_Toc296346698"/>
      <w:bookmarkStart w:id="1164" w:name="_Toc297048383"/>
      <w:bookmarkStart w:id="1165" w:name="_Toc296891237"/>
      <w:bookmarkStart w:id="1166" w:name="_Toc297123544"/>
      <w:bookmarkStart w:id="1167" w:name="_Toc303539150"/>
      <w:bookmarkStart w:id="1168" w:name="_Toc292559907"/>
      <w:bookmarkStart w:id="1169" w:name="_Toc296347196"/>
      <w:bookmarkStart w:id="1170" w:name="_Toc292559402"/>
      <w:bookmarkStart w:id="1171" w:name="_Toc297120497"/>
      <w:bookmarkStart w:id="1172" w:name="_Toc297216203"/>
      <w:bookmarkStart w:id="1173" w:name="_Toc312678029"/>
      <w:bookmarkStart w:id="1174" w:name="_Toc312677503"/>
      <w:bookmarkStart w:id="1175" w:name="_Toc304295570"/>
      <w:r>
        <w:rPr>
          <w:rFonts w:hint="eastAsia" w:ascii="宋体" w:hAnsi="宋体" w:cs="宋体"/>
          <w:color w:val="auto"/>
          <w:szCs w:val="21"/>
          <w:highlight w:val="none"/>
        </w:rPr>
        <w:t>0.5承</w:t>
      </w:r>
      <w:bookmarkEnd w:id="1159"/>
      <w:bookmarkEnd w:id="1160"/>
      <w:bookmarkEnd w:id="1161"/>
      <w:bookmarkEnd w:id="1162"/>
      <w:bookmarkEnd w:id="1163"/>
      <w:bookmarkEnd w:id="1164"/>
      <w:bookmarkEnd w:id="1165"/>
      <w:bookmarkEnd w:id="1166"/>
      <w:bookmarkEnd w:id="1167"/>
      <w:bookmarkEnd w:id="1168"/>
      <w:bookmarkEnd w:id="1169"/>
      <w:bookmarkEnd w:id="1170"/>
      <w:bookmarkEnd w:id="1171"/>
      <w:bookmarkEnd w:id="1172"/>
      <w:bookmarkStart w:id="1176" w:name="_Toc296891031"/>
      <w:bookmarkStart w:id="1177" w:name="_Toc296346704"/>
      <w:bookmarkStart w:id="1178" w:name="_Toc292559913"/>
      <w:bookmarkStart w:id="1179" w:name="_Toc297048389"/>
      <w:bookmarkStart w:id="1180" w:name="_Toc297216204"/>
      <w:bookmarkStart w:id="1181" w:name="_Toc296944542"/>
      <w:bookmarkStart w:id="1182" w:name="_Toc296347202"/>
      <w:bookmarkStart w:id="1183" w:name="_Toc297123545"/>
      <w:bookmarkStart w:id="1184" w:name="_Toc296891243"/>
      <w:bookmarkStart w:id="1185" w:name="_Toc300934994"/>
      <w:bookmarkStart w:id="1186" w:name="_Toc297120503"/>
      <w:bookmarkStart w:id="1187" w:name="_Toc292559408"/>
      <w:bookmarkStart w:id="1188" w:name="_Toc303539151"/>
      <w:bookmarkStart w:id="1189" w:name="_Toc296503203"/>
      <w:r>
        <w:rPr>
          <w:rFonts w:hint="eastAsia" w:ascii="宋体" w:hAnsi="宋体" w:cs="宋体"/>
          <w:color w:val="auto"/>
          <w:szCs w:val="21"/>
          <w:highlight w:val="none"/>
        </w:rPr>
        <w:t>包人的合理化建议</w:t>
      </w:r>
    </w:p>
    <w:bookmarkEnd w:id="1173"/>
    <w:bookmarkEnd w:id="1174"/>
    <w:bookmarkEnd w:id="1175"/>
    <w:bookmarkEnd w:id="1176"/>
    <w:bookmarkEnd w:id="1177"/>
    <w:bookmarkEnd w:id="1178"/>
    <w:bookmarkEnd w:id="1179"/>
    <w:bookmarkEnd w:id="1180"/>
    <w:bookmarkEnd w:id="1181"/>
    <w:bookmarkEnd w:id="1182"/>
    <w:bookmarkEnd w:id="1183"/>
    <w:bookmarkEnd w:id="1184"/>
    <w:bookmarkEnd w:id="1185"/>
    <w:bookmarkEnd w:id="1186"/>
    <w:bookmarkEnd w:id="1187"/>
    <w:bookmarkEnd w:id="1188"/>
    <w:bookmarkEnd w:id="1189"/>
    <w:p w14:paraId="5087D09E">
      <w:pPr>
        <w:spacing w:line="480" w:lineRule="exact"/>
        <w:ind w:firstLine="420" w:firstLineChars="200"/>
        <w:jc w:val="left"/>
        <w:rPr>
          <w:rFonts w:ascii="宋体" w:hAnsi="宋体" w:cs="宋体"/>
          <w:color w:val="auto"/>
          <w:szCs w:val="21"/>
          <w:highlight w:val="none"/>
        </w:rPr>
      </w:pPr>
      <w:r>
        <w:rPr>
          <w:rFonts w:hint="eastAsia" w:ascii="宋体" w:hAnsi="宋体" w:cs="宋体"/>
          <w:color w:val="auto"/>
          <w:szCs w:val="21"/>
          <w:highlight w:val="none"/>
        </w:rPr>
        <w:t>监理人审查承包人合理化建议的期限：</w:t>
      </w:r>
      <w:r>
        <w:rPr>
          <w:rFonts w:hint="eastAsia" w:ascii="宋体" w:hAnsi="宋体" w:cs="宋体"/>
          <w:color w:val="auto"/>
          <w:szCs w:val="21"/>
          <w:highlight w:val="none"/>
          <w:u w:val="single"/>
        </w:rPr>
        <w:t xml:space="preserve"> </w:t>
      </w:r>
      <w:bookmarkStart w:id="1190" w:name="OLE_LINK62"/>
      <w:bookmarkStart w:id="1191" w:name="OLE_LINK63"/>
      <w:r>
        <w:rPr>
          <w:rFonts w:hint="eastAsia" w:ascii="宋体" w:hAnsi="宋体" w:cs="宋体"/>
          <w:color w:val="auto"/>
          <w:szCs w:val="21"/>
          <w:highlight w:val="none"/>
          <w:u w:val="single"/>
        </w:rPr>
        <w:t xml:space="preserve"> 7日内</w:t>
      </w:r>
      <w:bookmarkEnd w:id="1190"/>
      <w:bookmarkEnd w:id="1191"/>
      <w:r>
        <w:rPr>
          <w:rFonts w:hint="eastAsia" w:ascii="宋体" w:hAnsi="宋体" w:cs="宋体"/>
          <w:color w:val="auto"/>
          <w:szCs w:val="21"/>
          <w:highlight w:val="none"/>
        </w:rPr>
        <w:t>。</w:t>
      </w:r>
    </w:p>
    <w:p w14:paraId="3D64B166">
      <w:pPr>
        <w:spacing w:line="480" w:lineRule="exact"/>
        <w:ind w:firstLine="420" w:firstLineChars="200"/>
        <w:jc w:val="left"/>
        <w:rPr>
          <w:rFonts w:ascii="宋体" w:hAnsi="宋体" w:cs="宋体"/>
          <w:color w:val="auto"/>
          <w:szCs w:val="21"/>
          <w:highlight w:val="none"/>
        </w:rPr>
      </w:pPr>
      <w:r>
        <w:rPr>
          <w:rFonts w:hint="eastAsia" w:ascii="宋体" w:hAnsi="宋体" w:cs="宋体"/>
          <w:color w:val="auto"/>
          <w:szCs w:val="21"/>
          <w:highlight w:val="none"/>
        </w:rPr>
        <w:t>发包人审批承包人合理化建议的期限：</w:t>
      </w:r>
      <w:r>
        <w:rPr>
          <w:rFonts w:hint="eastAsia" w:ascii="宋体" w:hAnsi="宋体" w:cs="宋体"/>
          <w:color w:val="auto"/>
          <w:szCs w:val="21"/>
          <w:highlight w:val="none"/>
          <w:u w:val="single"/>
        </w:rPr>
        <w:t xml:space="preserve">  7日内  </w:t>
      </w:r>
      <w:r>
        <w:rPr>
          <w:rFonts w:hint="eastAsia" w:ascii="宋体" w:hAnsi="宋体" w:cs="宋体"/>
          <w:color w:val="auto"/>
          <w:szCs w:val="21"/>
          <w:highlight w:val="none"/>
        </w:rPr>
        <w:t>。</w:t>
      </w:r>
    </w:p>
    <w:p w14:paraId="0529B18F">
      <w:pPr>
        <w:spacing w:line="480" w:lineRule="exact"/>
        <w:ind w:firstLine="420" w:firstLineChars="200"/>
        <w:jc w:val="left"/>
        <w:rPr>
          <w:rFonts w:ascii="宋体" w:hAnsi="宋体" w:cs="宋体"/>
          <w:color w:val="auto"/>
          <w:szCs w:val="21"/>
          <w:highlight w:val="none"/>
          <w:u w:val="single"/>
        </w:rPr>
      </w:pPr>
      <w:r>
        <w:rPr>
          <w:rFonts w:hint="eastAsia" w:ascii="宋体" w:hAnsi="宋体" w:cs="宋体"/>
          <w:color w:val="auto"/>
          <w:szCs w:val="21"/>
          <w:highlight w:val="none"/>
        </w:rPr>
        <w:t>承</w:t>
      </w:r>
      <w:bookmarkStart w:id="1192" w:name="_Toc303539152"/>
      <w:bookmarkStart w:id="1193" w:name="_Toc296347203"/>
      <w:bookmarkStart w:id="1194" w:name="_Toc296891032"/>
      <w:bookmarkStart w:id="1195" w:name="_Toc312677504"/>
      <w:bookmarkStart w:id="1196" w:name="_Toc297120504"/>
      <w:bookmarkStart w:id="1197" w:name="_Toc296944543"/>
      <w:bookmarkStart w:id="1198" w:name="_Toc296503204"/>
      <w:bookmarkStart w:id="1199" w:name="_Toc297216205"/>
      <w:bookmarkStart w:id="1200" w:name="_Toc312678030"/>
      <w:bookmarkStart w:id="1201" w:name="_Toc292559409"/>
      <w:bookmarkStart w:id="1202" w:name="_Toc300934995"/>
      <w:bookmarkStart w:id="1203" w:name="_Toc292559914"/>
      <w:bookmarkStart w:id="1204" w:name="_Toc297123546"/>
      <w:bookmarkStart w:id="1205" w:name="_Toc296891244"/>
      <w:bookmarkStart w:id="1206" w:name="_Toc296346705"/>
      <w:bookmarkStart w:id="1207" w:name="_Toc297048390"/>
      <w:bookmarkStart w:id="1208" w:name="_Toc318581175"/>
      <w:bookmarkStart w:id="1209" w:name="_Toc304295571"/>
      <w:r>
        <w:rPr>
          <w:rFonts w:hint="eastAsia" w:ascii="宋体" w:hAnsi="宋体" w:cs="宋体"/>
          <w:color w:val="auto"/>
          <w:szCs w:val="21"/>
          <w:highlight w:val="none"/>
        </w:rPr>
        <w:t>包人提出的合理化建议降低了合同价格或者提高了工程经济效益的奖励的方法和金额为：</w:t>
      </w:r>
      <w:r>
        <w:rPr>
          <w:rFonts w:hint="eastAsia" w:ascii="宋体" w:hAnsi="宋体" w:cs="宋体"/>
          <w:color w:val="auto"/>
          <w:szCs w:val="21"/>
          <w:highlight w:val="none"/>
          <w:u w:val="single"/>
        </w:rPr>
        <w:t xml:space="preserve"> ／  </w:t>
      </w:r>
      <w:r>
        <w:rPr>
          <w:rFonts w:hint="eastAsia" w:ascii="宋体" w:hAnsi="宋体" w:cs="宋体"/>
          <w:color w:val="auto"/>
          <w:szCs w:val="21"/>
          <w:highlight w:val="none"/>
        </w:rPr>
        <w:t>。</w:t>
      </w:r>
    </w:p>
    <w:bookmarkEnd w:id="1192"/>
    <w:bookmarkEnd w:id="1193"/>
    <w:bookmarkEnd w:id="1194"/>
    <w:bookmarkEnd w:id="1195"/>
    <w:bookmarkEnd w:id="1196"/>
    <w:bookmarkEnd w:id="1197"/>
    <w:bookmarkEnd w:id="1198"/>
    <w:bookmarkEnd w:id="1199"/>
    <w:bookmarkEnd w:id="1200"/>
    <w:bookmarkEnd w:id="1201"/>
    <w:bookmarkEnd w:id="1202"/>
    <w:bookmarkEnd w:id="1203"/>
    <w:bookmarkEnd w:id="1204"/>
    <w:bookmarkEnd w:id="1205"/>
    <w:bookmarkEnd w:id="1206"/>
    <w:bookmarkEnd w:id="1207"/>
    <w:bookmarkEnd w:id="1208"/>
    <w:bookmarkEnd w:id="1209"/>
    <w:p w14:paraId="1B0461AC">
      <w:pPr>
        <w:spacing w:line="480" w:lineRule="exact"/>
        <w:ind w:firstLine="420" w:firstLineChars="200"/>
        <w:rPr>
          <w:rFonts w:ascii="宋体" w:hAnsi="宋体" w:cs="宋体"/>
          <w:color w:val="auto"/>
          <w:szCs w:val="21"/>
          <w:highlight w:val="none"/>
        </w:rPr>
      </w:pPr>
      <w:r>
        <w:rPr>
          <w:rFonts w:hint="eastAsia" w:ascii="宋体" w:hAnsi="宋体" w:cs="宋体"/>
          <w:color w:val="auto"/>
          <w:szCs w:val="21"/>
          <w:highlight w:val="none"/>
        </w:rPr>
        <w:t>1</w:t>
      </w:r>
      <w:bookmarkStart w:id="1210" w:name="_Toc312678033"/>
      <w:bookmarkStart w:id="1211" w:name="_Toc303539154"/>
      <w:bookmarkStart w:id="1212" w:name="_Toc292559909"/>
      <w:bookmarkStart w:id="1213" w:name="_Toc296503199"/>
      <w:bookmarkStart w:id="1214" w:name="_Toc297120499"/>
      <w:bookmarkStart w:id="1215" w:name="_Toc297123548"/>
      <w:bookmarkStart w:id="1216" w:name="_Toc304295574"/>
      <w:bookmarkStart w:id="1217" w:name="_Toc296891027"/>
      <w:bookmarkStart w:id="1218" w:name="_Toc296891239"/>
      <w:bookmarkStart w:id="1219" w:name="_Toc296944538"/>
      <w:bookmarkStart w:id="1220" w:name="_Toc296347198"/>
      <w:bookmarkStart w:id="1221" w:name="_Toc292559404"/>
      <w:bookmarkStart w:id="1222" w:name="_Toc312677507"/>
      <w:bookmarkStart w:id="1223" w:name="_Toc297216207"/>
      <w:bookmarkStart w:id="1224" w:name="_Toc296346700"/>
      <w:bookmarkStart w:id="1225" w:name="_Toc297048385"/>
      <w:bookmarkStart w:id="1226" w:name="_Toc300934997"/>
      <w:r>
        <w:rPr>
          <w:rFonts w:hint="eastAsia" w:ascii="宋体" w:hAnsi="宋体" w:cs="宋体"/>
          <w:color w:val="auto"/>
          <w:szCs w:val="21"/>
          <w:highlight w:val="none"/>
        </w:rPr>
        <w:t>0.6 暂估价</w:t>
      </w:r>
    </w:p>
    <w:bookmarkEnd w:id="1210"/>
    <w:bookmarkEnd w:id="1211"/>
    <w:bookmarkEnd w:id="1212"/>
    <w:bookmarkEnd w:id="1213"/>
    <w:bookmarkEnd w:id="1214"/>
    <w:bookmarkEnd w:id="1215"/>
    <w:bookmarkEnd w:id="1216"/>
    <w:bookmarkEnd w:id="1217"/>
    <w:bookmarkEnd w:id="1218"/>
    <w:bookmarkEnd w:id="1219"/>
    <w:bookmarkEnd w:id="1220"/>
    <w:bookmarkEnd w:id="1221"/>
    <w:bookmarkEnd w:id="1222"/>
    <w:bookmarkEnd w:id="1223"/>
    <w:bookmarkEnd w:id="1224"/>
    <w:bookmarkEnd w:id="1225"/>
    <w:bookmarkEnd w:id="1226"/>
    <w:p w14:paraId="15C3FBEF">
      <w:pPr>
        <w:spacing w:line="480" w:lineRule="exact"/>
        <w:ind w:firstLine="420" w:firstLineChars="200"/>
        <w:jc w:val="left"/>
        <w:rPr>
          <w:rFonts w:ascii="宋体" w:hAnsi="宋体" w:cs="宋体"/>
          <w:color w:val="auto"/>
          <w:szCs w:val="21"/>
          <w:highlight w:val="none"/>
        </w:rPr>
      </w:pPr>
      <w:r>
        <w:rPr>
          <w:rFonts w:hint="eastAsia" w:ascii="宋体" w:hAnsi="宋体" w:cs="宋体"/>
          <w:color w:val="auto"/>
          <w:kern w:val="0"/>
          <w:szCs w:val="21"/>
          <w:highlight w:val="none"/>
        </w:rPr>
        <w:t>暂</w:t>
      </w:r>
      <w:bookmarkStart w:id="1227" w:name="_Toc312677508"/>
      <w:bookmarkStart w:id="1228" w:name="_Toc318581176"/>
      <w:bookmarkStart w:id="1229" w:name="_Toc312678034"/>
      <w:r>
        <w:rPr>
          <w:rFonts w:hint="eastAsia" w:ascii="宋体" w:hAnsi="宋体" w:cs="宋体"/>
          <w:color w:val="auto"/>
          <w:kern w:val="0"/>
          <w:szCs w:val="21"/>
          <w:highlight w:val="none"/>
        </w:rPr>
        <w:t>估价材料和工程设备的明细详见清单</w:t>
      </w:r>
      <w:r>
        <w:rPr>
          <w:rFonts w:hint="eastAsia" w:ascii="宋体" w:hAnsi="宋体" w:cs="宋体"/>
          <w:color w:val="auto"/>
          <w:szCs w:val="21"/>
          <w:highlight w:val="none"/>
        </w:rPr>
        <w:t>中暂估价</w:t>
      </w:r>
      <w:r>
        <w:rPr>
          <w:rFonts w:hint="eastAsia" w:ascii="宋体" w:hAnsi="宋体" w:cs="宋体"/>
          <w:color w:val="auto"/>
          <w:kern w:val="0"/>
          <w:szCs w:val="21"/>
          <w:highlight w:val="none"/>
        </w:rPr>
        <w:t>。</w:t>
      </w:r>
    </w:p>
    <w:bookmarkEnd w:id="1227"/>
    <w:bookmarkEnd w:id="1228"/>
    <w:bookmarkEnd w:id="1229"/>
    <w:p w14:paraId="64862A1B">
      <w:pPr>
        <w:spacing w:line="480" w:lineRule="exact"/>
        <w:ind w:firstLine="420" w:firstLineChars="200"/>
        <w:rPr>
          <w:rFonts w:ascii="宋体" w:hAnsi="宋体" w:cs="宋体"/>
          <w:color w:val="auto"/>
          <w:szCs w:val="21"/>
          <w:highlight w:val="none"/>
        </w:rPr>
      </w:pPr>
      <w:r>
        <w:rPr>
          <w:rFonts w:hint="eastAsia" w:ascii="宋体" w:hAnsi="宋体" w:cs="宋体"/>
          <w:color w:val="auto"/>
          <w:szCs w:val="21"/>
          <w:highlight w:val="none"/>
        </w:rPr>
        <w:t>10.7 暂列金额</w:t>
      </w:r>
    </w:p>
    <w:p w14:paraId="7F2074AC">
      <w:pPr>
        <w:autoSpaceDE w:val="0"/>
        <w:autoSpaceDN w:val="0"/>
        <w:adjustRightInd w:val="0"/>
        <w:spacing w:line="480" w:lineRule="exact"/>
        <w:ind w:firstLine="420" w:firstLineChars="200"/>
        <w:jc w:val="left"/>
        <w:rPr>
          <w:rFonts w:ascii="宋体" w:hAnsi="宋体" w:cs="宋体"/>
          <w:color w:val="auto"/>
          <w:szCs w:val="21"/>
          <w:highlight w:val="none"/>
          <w:u w:val="single"/>
        </w:rPr>
      </w:pPr>
      <w:r>
        <w:rPr>
          <w:rFonts w:hint="eastAsia" w:ascii="宋体" w:hAnsi="宋体" w:cs="宋体"/>
          <w:color w:val="auto"/>
          <w:kern w:val="0"/>
          <w:szCs w:val="21"/>
          <w:highlight w:val="none"/>
        </w:rPr>
        <w:t>合同当事人关于暂列金额使用的约定：</w:t>
      </w:r>
      <w:r>
        <w:rPr>
          <w:rFonts w:hint="eastAsia" w:ascii="宋体" w:hAnsi="宋体" w:cs="宋体"/>
          <w:color w:val="auto"/>
          <w:szCs w:val="21"/>
          <w:highlight w:val="none"/>
          <w:u w:val="single"/>
        </w:rPr>
        <w:t xml:space="preserve">                     </w:t>
      </w:r>
      <w:r>
        <w:rPr>
          <w:rFonts w:hint="eastAsia" w:ascii="宋体" w:hAnsi="宋体" w:cs="宋体"/>
          <w:color w:val="auto"/>
          <w:kern w:val="0"/>
          <w:szCs w:val="21"/>
          <w:highlight w:val="none"/>
        </w:rPr>
        <w:t>。</w:t>
      </w:r>
    </w:p>
    <w:p w14:paraId="1576D181">
      <w:pPr>
        <w:pStyle w:val="6"/>
        <w:spacing w:line="480" w:lineRule="exact"/>
        <w:ind w:firstLine="422" w:firstLineChars="200"/>
        <w:jc w:val="left"/>
        <w:rPr>
          <w:rFonts w:ascii="宋体" w:hAnsi="宋体" w:cs="宋体"/>
          <w:b/>
          <w:color w:val="auto"/>
          <w:szCs w:val="21"/>
          <w:highlight w:val="none"/>
        </w:rPr>
      </w:pPr>
      <w:bookmarkStart w:id="1230" w:name="_Toc351203643"/>
      <w:r>
        <w:rPr>
          <w:rFonts w:hint="eastAsia" w:ascii="宋体" w:hAnsi="宋体" w:cs="宋体"/>
          <w:b/>
          <w:color w:val="auto"/>
          <w:szCs w:val="21"/>
          <w:highlight w:val="none"/>
        </w:rPr>
        <w:t>11. 价格调整</w:t>
      </w:r>
      <w:bookmarkEnd w:id="1230"/>
    </w:p>
    <w:p w14:paraId="7F23B040">
      <w:pPr>
        <w:spacing w:line="480" w:lineRule="exact"/>
        <w:ind w:firstLine="420" w:firstLineChars="200"/>
        <w:rPr>
          <w:rFonts w:ascii="宋体" w:hAnsi="宋体" w:cs="宋体"/>
          <w:color w:val="auto"/>
          <w:szCs w:val="21"/>
          <w:highlight w:val="none"/>
        </w:rPr>
      </w:pPr>
      <w:bookmarkStart w:id="1231" w:name="_Toc292559406"/>
      <w:bookmarkStart w:id="1232" w:name="_Toc296891029"/>
      <w:bookmarkStart w:id="1233" w:name="_Toc304295577"/>
      <w:bookmarkStart w:id="1234" w:name="_Toc296346702"/>
      <w:bookmarkStart w:id="1235" w:name="_Toc297123550"/>
      <w:bookmarkStart w:id="1236" w:name="_Toc297120501"/>
      <w:bookmarkStart w:id="1237" w:name="_Toc297216209"/>
      <w:bookmarkStart w:id="1238" w:name="_Toc296891241"/>
      <w:bookmarkStart w:id="1239" w:name="_Toc300935000"/>
      <w:bookmarkStart w:id="1240" w:name="_Toc297048387"/>
      <w:bookmarkStart w:id="1241" w:name="_Toc296503201"/>
      <w:bookmarkStart w:id="1242" w:name="_Toc303539157"/>
      <w:bookmarkStart w:id="1243" w:name="_Toc296944540"/>
      <w:bookmarkStart w:id="1244" w:name="_Toc292559911"/>
      <w:bookmarkStart w:id="1245" w:name="_Toc296347200"/>
      <w:bookmarkStart w:id="1246" w:name="_Toc312678039"/>
      <w:r>
        <w:rPr>
          <w:rFonts w:hint="eastAsia" w:ascii="宋体" w:hAnsi="宋体" w:cs="宋体"/>
          <w:color w:val="auto"/>
          <w:szCs w:val="21"/>
          <w:highlight w:val="none"/>
        </w:rPr>
        <w:t>11.1 市场价格波动是否调整，不调整。</w:t>
      </w:r>
    </w:p>
    <w:bookmarkEnd w:id="1135"/>
    <w:bookmarkEnd w:id="1136"/>
    <w:bookmarkEnd w:id="1137"/>
    <w:bookmarkEnd w:id="1138"/>
    <w:bookmarkEnd w:id="1139"/>
    <w:bookmarkEnd w:id="1140"/>
    <w:bookmarkEnd w:id="1231"/>
    <w:bookmarkEnd w:id="1232"/>
    <w:bookmarkEnd w:id="1233"/>
    <w:bookmarkEnd w:id="1234"/>
    <w:bookmarkEnd w:id="1235"/>
    <w:bookmarkEnd w:id="1236"/>
    <w:bookmarkEnd w:id="1237"/>
    <w:bookmarkEnd w:id="1238"/>
    <w:bookmarkEnd w:id="1239"/>
    <w:bookmarkEnd w:id="1240"/>
    <w:bookmarkEnd w:id="1241"/>
    <w:bookmarkEnd w:id="1242"/>
    <w:bookmarkEnd w:id="1243"/>
    <w:bookmarkEnd w:id="1244"/>
    <w:bookmarkEnd w:id="1245"/>
    <w:bookmarkEnd w:id="1246"/>
    <w:p w14:paraId="6360D715">
      <w:pPr>
        <w:pStyle w:val="7"/>
        <w:spacing w:before="0" w:beforeAutospacing="0" w:after="0" w:afterAutospacing="0" w:line="360" w:lineRule="auto"/>
        <w:ind w:firstLine="422" w:firstLineChars="200"/>
        <w:rPr>
          <w:rFonts w:cs="宋体"/>
          <w:color w:val="auto"/>
          <w:sz w:val="21"/>
          <w:szCs w:val="21"/>
          <w:highlight w:val="none"/>
        </w:rPr>
      </w:pPr>
      <w:bookmarkStart w:id="1247" w:name="_Toc532377380"/>
      <w:bookmarkStart w:id="1248" w:name="_Toc532375644"/>
      <w:bookmarkStart w:id="1249" w:name="_Hlk528928232"/>
      <w:bookmarkStart w:id="1250" w:name="_Toc296346706"/>
      <w:bookmarkStart w:id="1251" w:name="_Toc296891033"/>
      <w:bookmarkStart w:id="1252" w:name="_Toc296347204"/>
      <w:bookmarkStart w:id="1253" w:name="_Toc297048391"/>
      <w:bookmarkStart w:id="1254" w:name="_Toc296503205"/>
      <w:bookmarkStart w:id="1255" w:name="_Toc296944544"/>
      <w:bookmarkStart w:id="1256" w:name="_Toc292559410"/>
      <w:bookmarkStart w:id="1257" w:name="_Toc297120505"/>
      <w:bookmarkStart w:id="1258" w:name="_Toc292559915"/>
      <w:bookmarkStart w:id="1259" w:name="_Toc296891245"/>
      <w:bookmarkStart w:id="1260" w:name="_Toc351203644"/>
      <w:bookmarkStart w:id="1261" w:name="_Toc312678040"/>
      <w:bookmarkStart w:id="1262" w:name="_Toc304295579"/>
      <w:bookmarkStart w:id="1263" w:name="_Toc303539159"/>
      <w:bookmarkStart w:id="1264" w:name="_Toc300935002"/>
      <w:bookmarkStart w:id="1265" w:name="_Toc297216211"/>
      <w:bookmarkStart w:id="1266" w:name="_Toc297123552"/>
      <w:r>
        <w:rPr>
          <w:rFonts w:hint="eastAsia" w:cs="宋体"/>
          <w:color w:val="auto"/>
          <w:sz w:val="21"/>
          <w:szCs w:val="21"/>
          <w:highlight w:val="none"/>
        </w:rPr>
        <w:t>11.2 法律变化引起的调整</w:t>
      </w:r>
      <w:bookmarkEnd w:id="1247"/>
      <w:bookmarkEnd w:id="1248"/>
    </w:p>
    <w:p w14:paraId="6BEE4505">
      <w:pPr>
        <w:spacing w:line="360" w:lineRule="auto"/>
        <w:ind w:firstLine="420" w:firstLineChars="200"/>
        <w:jc w:val="left"/>
        <w:rPr>
          <w:rFonts w:ascii="宋体" w:hAnsi="宋体" w:cs="宋体"/>
          <w:color w:val="auto"/>
          <w:szCs w:val="21"/>
          <w:highlight w:val="none"/>
        </w:rPr>
      </w:pPr>
      <w:r>
        <w:rPr>
          <w:rFonts w:hint="eastAsia" w:ascii="宋体" w:hAnsi="宋体" w:cs="宋体"/>
          <w:color w:val="auto"/>
          <w:szCs w:val="21"/>
          <w:highlight w:val="none"/>
        </w:rPr>
        <w:t>项目投标基准日至竣工验收合格之日，国家或相关行政主管部门发布直接影响项目的新法规、新政策、新文件、新标准，属强制执行的，自执行之日执行，由此增减的费用由发包人承担，估价照第10.4.1项〔变更估价原则〕执行；属选择性执行的，发包人与承包人协商解决。</w:t>
      </w:r>
    </w:p>
    <w:p w14:paraId="74D04CD9">
      <w:pPr>
        <w:spacing w:line="360" w:lineRule="auto"/>
        <w:ind w:firstLine="420" w:firstLineChars="200"/>
        <w:jc w:val="left"/>
        <w:rPr>
          <w:rFonts w:ascii="宋体" w:hAnsi="宋体" w:cs="宋体"/>
          <w:color w:val="auto"/>
          <w:szCs w:val="21"/>
          <w:highlight w:val="none"/>
        </w:rPr>
      </w:pPr>
      <w:r>
        <w:rPr>
          <w:rFonts w:hint="eastAsia" w:ascii="宋体" w:hAnsi="宋体" w:cs="宋体"/>
          <w:color w:val="auto"/>
          <w:szCs w:val="21"/>
          <w:highlight w:val="none"/>
        </w:rPr>
        <w:t>本条补充11.3款</w:t>
      </w:r>
    </w:p>
    <w:bookmarkEnd w:id="1249"/>
    <w:p w14:paraId="3AE0A491">
      <w:pPr>
        <w:pStyle w:val="7"/>
        <w:spacing w:before="0" w:beforeAutospacing="0" w:after="0" w:afterAutospacing="0" w:line="360" w:lineRule="auto"/>
        <w:ind w:firstLine="422" w:firstLineChars="200"/>
        <w:rPr>
          <w:rFonts w:cs="宋体"/>
          <w:color w:val="auto"/>
          <w:sz w:val="21"/>
          <w:szCs w:val="21"/>
          <w:highlight w:val="none"/>
        </w:rPr>
      </w:pPr>
      <w:bookmarkStart w:id="1267" w:name="_Toc532375645"/>
      <w:bookmarkStart w:id="1268" w:name="_Toc532377381"/>
      <w:r>
        <w:rPr>
          <w:rFonts w:hint="eastAsia" w:cs="宋体"/>
          <w:color w:val="auto"/>
          <w:sz w:val="21"/>
          <w:szCs w:val="21"/>
          <w:highlight w:val="none"/>
        </w:rPr>
        <w:t>11.3 严重不平衡报价引起的调整</w:t>
      </w:r>
      <w:bookmarkEnd w:id="1267"/>
      <w:bookmarkEnd w:id="1268"/>
    </w:p>
    <w:p w14:paraId="17E22FFE">
      <w:pPr>
        <w:spacing w:line="360" w:lineRule="auto"/>
        <w:ind w:firstLine="420" w:firstLineChars="200"/>
        <w:jc w:val="left"/>
        <w:rPr>
          <w:rFonts w:ascii="宋体" w:hAnsi="宋体" w:cs="宋体"/>
          <w:color w:val="auto"/>
          <w:szCs w:val="21"/>
          <w:highlight w:val="none"/>
          <w:u w:val="single"/>
        </w:rPr>
      </w:pPr>
      <w:r>
        <w:rPr>
          <w:rFonts w:hint="eastAsia" w:ascii="宋体" w:hAnsi="宋体" w:cs="宋体"/>
          <w:color w:val="auto"/>
          <w:szCs w:val="21"/>
          <w:highlight w:val="none"/>
          <w:u w:val="single"/>
        </w:rPr>
        <w:t>合同履行期间，当按第12.3.1项〔计量原则〕约定确认的完成工程量比已标价工程量清单载明工程量增加超过15%，且发包人发现承包人的已标价工程量清单相关清单子目中有严重不平衡报价的。超过已标价工程量清单载明工程量15%的部分，发包人将对严重不平衡报价的清单子目综合单价进行修正，并按修正综合单价办理竣工结算，修正综合单价按照第10.4.1项〔变更估价原则〕（3）目约定执行</w:t>
      </w:r>
      <w:r>
        <w:rPr>
          <w:rFonts w:hint="eastAsia" w:ascii="宋体" w:hAnsi="宋体" w:cs="宋体"/>
          <w:color w:val="auto"/>
          <w:szCs w:val="21"/>
          <w:highlight w:val="none"/>
        </w:rPr>
        <w:t>。</w:t>
      </w:r>
    </w:p>
    <w:p w14:paraId="055589FD">
      <w:pPr>
        <w:spacing w:line="360" w:lineRule="auto"/>
        <w:ind w:firstLine="420" w:firstLineChars="200"/>
        <w:jc w:val="left"/>
        <w:rPr>
          <w:rFonts w:ascii="宋体" w:hAnsi="宋体" w:cs="宋体"/>
          <w:color w:val="auto"/>
          <w:szCs w:val="21"/>
          <w:highlight w:val="none"/>
          <w:u w:val="single"/>
        </w:rPr>
      </w:pPr>
      <w:r>
        <w:rPr>
          <w:rFonts w:hint="eastAsia" w:ascii="宋体" w:hAnsi="宋体" w:cs="宋体"/>
          <w:color w:val="auto"/>
          <w:szCs w:val="21"/>
          <w:highlight w:val="none"/>
          <w:u w:val="single"/>
        </w:rPr>
        <w:t>严重不平衡报价是指：清单子目综合单价与发包人按照第10.4.1项〔变更估价原则〕（3）目约定确定的综合单价相比，高于50%（即严重不平衡报价清单子目综合单价 - 按照第10.4.1项〔变更估价原则〕（3）目约定确定的综合单价）/按照第10.4.1项〔变更估价原则〕（3）目约定确定的综合单价×100%</w:t>
      </w:r>
      <w:r>
        <w:rPr>
          <w:rFonts w:hint="eastAsia" w:ascii="宋体" w:hAnsi="宋体" w:cs="宋体"/>
          <w:color w:val="auto"/>
          <w:szCs w:val="21"/>
          <w:highlight w:val="none"/>
        </w:rPr>
        <w:t>。</w:t>
      </w:r>
    </w:p>
    <w:p w14:paraId="4C037D2A">
      <w:pPr>
        <w:pStyle w:val="6"/>
        <w:spacing w:line="480" w:lineRule="exact"/>
        <w:jc w:val="both"/>
        <w:rPr>
          <w:rFonts w:ascii="宋体" w:hAnsi="宋体" w:cs="宋体"/>
          <w:b/>
          <w:color w:val="auto"/>
          <w:szCs w:val="21"/>
          <w:highlight w:val="none"/>
        </w:rPr>
      </w:pPr>
      <w:r>
        <w:rPr>
          <w:rFonts w:hint="eastAsia" w:ascii="宋体" w:hAnsi="宋体" w:cs="宋体"/>
          <w:b/>
          <w:color w:val="auto"/>
          <w:szCs w:val="21"/>
          <w:highlight w:val="none"/>
        </w:rPr>
        <w:t xml:space="preserve">12. </w:t>
      </w:r>
      <w:bookmarkEnd w:id="1250"/>
      <w:bookmarkEnd w:id="1251"/>
      <w:bookmarkEnd w:id="1252"/>
      <w:bookmarkEnd w:id="1253"/>
      <w:bookmarkEnd w:id="1254"/>
      <w:bookmarkEnd w:id="1255"/>
      <w:bookmarkEnd w:id="1256"/>
      <w:bookmarkEnd w:id="1257"/>
      <w:bookmarkEnd w:id="1258"/>
      <w:bookmarkEnd w:id="1259"/>
      <w:r>
        <w:rPr>
          <w:rFonts w:hint="eastAsia" w:ascii="宋体" w:hAnsi="宋体" w:cs="宋体"/>
          <w:b/>
          <w:color w:val="auto"/>
          <w:szCs w:val="21"/>
          <w:highlight w:val="none"/>
        </w:rPr>
        <w:t>合同价格、计量与支付</w:t>
      </w:r>
      <w:bookmarkEnd w:id="1260"/>
    </w:p>
    <w:bookmarkEnd w:id="1261"/>
    <w:bookmarkEnd w:id="1262"/>
    <w:bookmarkEnd w:id="1263"/>
    <w:bookmarkEnd w:id="1264"/>
    <w:bookmarkEnd w:id="1265"/>
    <w:bookmarkEnd w:id="1266"/>
    <w:p w14:paraId="6618D8D1">
      <w:pPr>
        <w:spacing w:line="480" w:lineRule="exact"/>
        <w:ind w:firstLine="420" w:firstLineChars="200"/>
        <w:rPr>
          <w:rFonts w:ascii="宋体" w:hAnsi="宋体" w:cs="宋体"/>
          <w:color w:val="auto"/>
          <w:szCs w:val="21"/>
          <w:highlight w:val="none"/>
        </w:rPr>
      </w:pPr>
      <w:bookmarkStart w:id="1269" w:name="_Toc292559916"/>
      <w:bookmarkStart w:id="1270" w:name="_Toc267251461"/>
      <w:bookmarkStart w:id="1271" w:name="_Toc292559411"/>
      <w:bookmarkStart w:id="1272" w:name="_Toc296346707"/>
      <w:bookmarkStart w:id="1273" w:name="_Toc297048392"/>
      <w:bookmarkStart w:id="1274" w:name="_Toc296891034"/>
      <w:bookmarkStart w:id="1275" w:name="_Toc296891246"/>
      <w:bookmarkStart w:id="1276" w:name="_Toc296944545"/>
      <w:bookmarkStart w:id="1277" w:name="_Toc296347205"/>
      <w:bookmarkStart w:id="1278" w:name="_Toc296503206"/>
      <w:bookmarkStart w:id="1279" w:name="_Toc297120506"/>
      <w:bookmarkStart w:id="1280" w:name="_Toc300935003"/>
      <w:bookmarkStart w:id="1281" w:name="_Toc303539160"/>
      <w:bookmarkStart w:id="1282" w:name="_Toc312678041"/>
      <w:bookmarkStart w:id="1283" w:name="_Toc297123553"/>
      <w:bookmarkStart w:id="1284" w:name="_Toc304295580"/>
      <w:bookmarkStart w:id="1285" w:name="_Toc297216212"/>
      <w:r>
        <w:rPr>
          <w:rFonts w:hint="eastAsia" w:ascii="宋体" w:hAnsi="宋体" w:cs="宋体"/>
          <w:color w:val="auto"/>
          <w:szCs w:val="21"/>
          <w:highlight w:val="none"/>
        </w:rPr>
        <w:t>12.1 合</w:t>
      </w:r>
      <w:bookmarkEnd w:id="1269"/>
      <w:bookmarkEnd w:id="1270"/>
      <w:bookmarkEnd w:id="1271"/>
      <w:r>
        <w:rPr>
          <w:rFonts w:hint="eastAsia" w:ascii="宋体" w:hAnsi="宋体" w:cs="宋体"/>
          <w:color w:val="auto"/>
          <w:szCs w:val="21"/>
          <w:highlight w:val="none"/>
        </w:rPr>
        <w:t>同价</w:t>
      </w:r>
      <w:bookmarkEnd w:id="1272"/>
      <w:bookmarkEnd w:id="1273"/>
      <w:bookmarkEnd w:id="1274"/>
      <w:bookmarkEnd w:id="1275"/>
      <w:bookmarkEnd w:id="1276"/>
      <w:bookmarkEnd w:id="1277"/>
      <w:bookmarkEnd w:id="1278"/>
      <w:bookmarkEnd w:id="1279"/>
      <w:r>
        <w:rPr>
          <w:rFonts w:hint="eastAsia" w:ascii="宋体" w:hAnsi="宋体" w:cs="宋体"/>
          <w:color w:val="auto"/>
          <w:szCs w:val="21"/>
          <w:highlight w:val="none"/>
        </w:rPr>
        <w:t>格形式</w:t>
      </w:r>
    </w:p>
    <w:bookmarkEnd w:id="1280"/>
    <w:bookmarkEnd w:id="1281"/>
    <w:bookmarkEnd w:id="1282"/>
    <w:bookmarkEnd w:id="1283"/>
    <w:bookmarkEnd w:id="1284"/>
    <w:bookmarkEnd w:id="1285"/>
    <w:p w14:paraId="47D207AC">
      <w:pPr>
        <w:spacing w:line="480" w:lineRule="exact"/>
        <w:ind w:firstLine="420" w:firstLineChars="200"/>
        <w:jc w:val="left"/>
        <w:rPr>
          <w:rFonts w:ascii="宋体" w:hAnsi="宋体" w:cs="宋体"/>
          <w:color w:val="auto"/>
          <w:szCs w:val="21"/>
          <w:highlight w:val="none"/>
        </w:rPr>
      </w:pPr>
      <w:r>
        <w:rPr>
          <w:rFonts w:hint="eastAsia" w:ascii="宋体" w:hAnsi="宋体" w:cs="宋体"/>
          <w:color w:val="auto"/>
          <w:szCs w:val="21"/>
          <w:highlight w:val="none"/>
        </w:rPr>
        <w:t>1、单价合同。</w:t>
      </w:r>
    </w:p>
    <w:p w14:paraId="2C010F82">
      <w:pPr>
        <w:spacing w:line="360" w:lineRule="auto"/>
        <w:ind w:firstLine="420" w:firstLineChars="200"/>
        <w:jc w:val="left"/>
        <w:rPr>
          <w:rFonts w:ascii="宋体" w:hAnsi="宋体"/>
          <w:color w:val="auto"/>
          <w:szCs w:val="21"/>
          <w:highlight w:val="none"/>
          <w:u w:val="single"/>
        </w:rPr>
      </w:pPr>
      <w:r>
        <w:rPr>
          <w:rFonts w:hint="eastAsia" w:ascii="宋体" w:hAnsi="宋体" w:cs="宋体"/>
          <w:color w:val="auto"/>
          <w:szCs w:val="21"/>
          <w:highlight w:val="none"/>
        </w:rPr>
        <w:t>综合单价包含的风险范围：</w:t>
      </w:r>
      <w:r>
        <w:rPr>
          <w:rFonts w:hint="eastAsia" w:ascii="宋体" w:hAnsi="宋体"/>
          <w:color w:val="auto"/>
          <w:szCs w:val="21"/>
          <w:highlight w:val="none"/>
          <w:u w:val="single"/>
        </w:rPr>
        <w:t>包括但不限于为实施和完成合同工程所需的人工费、材料费、施工机具使用费、企业管理费、利润、风险费、施工技术措施项目费、施工组织措施项目费、运输费、试验费、</w:t>
      </w:r>
      <w:bookmarkStart w:id="1286" w:name="OLE_LINK64"/>
      <w:bookmarkStart w:id="1287" w:name="OLE_LINK65"/>
      <w:r>
        <w:rPr>
          <w:rFonts w:hint="eastAsia" w:ascii="宋体" w:hAnsi="宋体"/>
          <w:color w:val="auto"/>
          <w:szCs w:val="21"/>
          <w:highlight w:val="none"/>
          <w:u w:val="single"/>
        </w:rPr>
        <w:t>检测费、</w:t>
      </w:r>
      <w:bookmarkEnd w:id="1286"/>
      <w:bookmarkEnd w:id="1287"/>
      <w:r>
        <w:rPr>
          <w:rFonts w:hint="eastAsia" w:ascii="宋体" w:hAnsi="宋体"/>
          <w:color w:val="auto"/>
          <w:szCs w:val="21"/>
          <w:highlight w:val="none"/>
          <w:u w:val="single"/>
        </w:rPr>
        <w:t>安全文明施工费用、劳动保险费、总承包服务费、专业工程二</w:t>
      </w:r>
      <w:r>
        <w:rPr>
          <w:rFonts w:hint="eastAsia" w:ascii="宋体" w:hAnsi="宋体"/>
          <w:color w:val="auto"/>
          <w:highlight w:val="none"/>
          <w:u w:val="single"/>
        </w:rPr>
        <w:t>次设计费、</w:t>
      </w:r>
      <w:r>
        <w:rPr>
          <w:rFonts w:hint="eastAsia" w:ascii="宋体" w:hAnsi="宋体"/>
          <w:color w:val="auto"/>
          <w:szCs w:val="21"/>
          <w:highlight w:val="none"/>
          <w:u w:val="single"/>
        </w:rPr>
        <w:t>规费和税金及缺陷修复等费用，以及</w:t>
      </w:r>
      <w:bookmarkStart w:id="1288" w:name="_Hlk528508096"/>
      <w:r>
        <w:rPr>
          <w:rFonts w:hint="eastAsia" w:ascii="宋体" w:hAnsi="宋体"/>
          <w:color w:val="auto"/>
          <w:szCs w:val="21"/>
          <w:highlight w:val="none"/>
          <w:u w:val="single"/>
        </w:rPr>
        <w:t>第11.1款〔市场价格波动引起的调整〕约定范围内的市场价格波动风险、政策性文件规定的各项应有费用、</w:t>
      </w:r>
      <w:bookmarkEnd w:id="1288"/>
      <w:r>
        <w:rPr>
          <w:rFonts w:hint="eastAsia" w:ascii="宋体" w:hAnsi="宋体"/>
          <w:color w:val="auto"/>
          <w:szCs w:val="21"/>
          <w:highlight w:val="none"/>
          <w:u w:val="single"/>
        </w:rPr>
        <w:t>招标文件和合同明示或暗示的应由承包人承担的所有责任、义务和风险等所需的费用</w:t>
      </w:r>
      <w:r>
        <w:rPr>
          <w:rFonts w:hint="eastAsia" w:ascii="宋体" w:hAnsi="宋体"/>
          <w:color w:val="auto"/>
          <w:szCs w:val="21"/>
          <w:highlight w:val="none"/>
        </w:rPr>
        <w:t>。</w:t>
      </w:r>
    </w:p>
    <w:p w14:paraId="3E50BD5A">
      <w:pPr>
        <w:spacing w:line="480" w:lineRule="exact"/>
        <w:ind w:firstLine="420" w:firstLineChars="200"/>
        <w:jc w:val="left"/>
        <w:rPr>
          <w:rFonts w:ascii="宋体" w:hAnsi="宋体" w:cs="宋体"/>
          <w:color w:val="auto"/>
          <w:szCs w:val="21"/>
          <w:highlight w:val="none"/>
          <w:u w:val="single"/>
        </w:rPr>
      </w:pPr>
      <w:r>
        <w:rPr>
          <w:rFonts w:hint="eastAsia" w:ascii="宋体" w:hAnsi="宋体" w:cs="宋体"/>
          <w:color w:val="auto"/>
          <w:szCs w:val="21"/>
          <w:highlight w:val="none"/>
        </w:rPr>
        <w:t>风险费用的计算方法：</w:t>
      </w:r>
      <w:r>
        <w:rPr>
          <w:rFonts w:hint="eastAsia" w:ascii="宋体" w:hAnsi="宋体" w:cs="宋体"/>
          <w:color w:val="auto"/>
          <w:szCs w:val="21"/>
          <w:highlight w:val="none"/>
          <w:u w:val="single"/>
        </w:rPr>
        <w:t xml:space="preserve">         ／     </w:t>
      </w:r>
      <w:r>
        <w:rPr>
          <w:rFonts w:hint="eastAsia" w:ascii="宋体" w:hAnsi="宋体" w:cs="宋体"/>
          <w:color w:val="auto"/>
          <w:szCs w:val="21"/>
          <w:highlight w:val="none"/>
        </w:rPr>
        <w:t>。</w:t>
      </w:r>
    </w:p>
    <w:p w14:paraId="15D7DE67">
      <w:pPr>
        <w:spacing w:line="480" w:lineRule="exact"/>
        <w:ind w:firstLine="420" w:firstLineChars="200"/>
        <w:jc w:val="left"/>
        <w:rPr>
          <w:rFonts w:ascii="宋体" w:hAnsi="宋体" w:cs="宋体"/>
          <w:color w:val="auto"/>
          <w:szCs w:val="21"/>
          <w:highlight w:val="none"/>
        </w:rPr>
      </w:pPr>
      <w:r>
        <w:rPr>
          <w:rFonts w:hint="eastAsia" w:ascii="宋体" w:hAnsi="宋体" w:cs="宋体"/>
          <w:color w:val="auto"/>
          <w:szCs w:val="21"/>
          <w:highlight w:val="none"/>
        </w:rPr>
        <w:t>风险范围以外合同价格的调整方法：</w:t>
      </w:r>
      <w:r>
        <w:rPr>
          <w:rFonts w:hint="eastAsia" w:ascii="宋体" w:hAnsi="宋体" w:cs="宋体"/>
          <w:color w:val="auto"/>
          <w:szCs w:val="21"/>
          <w:highlight w:val="none"/>
          <w:u w:val="single"/>
        </w:rPr>
        <w:t>按通用条款11.1第2种方式进行调整</w:t>
      </w:r>
      <w:r>
        <w:rPr>
          <w:rFonts w:hint="eastAsia" w:ascii="宋体" w:hAnsi="宋体" w:cs="宋体"/>
          <w:color w:val="auto"/>
          <w:szCs w:val="21"/>
          <w:highlight w:val="none"/>
        </w:rPr>
        <w:t>。</w:t>
      </w:r>
    </w:p>
    <w:p w14:paraId="103450B8">
      <w:pPr>
        <w:spacing w:line="480" w:lineRule="exact"/>
        <w:ind w:firstLine="420" w:firstLineChars="200"/>
        <w:rPr>
          <w:rFonts w:ascii="宋体" w:hAnsi="宋体" w:cs="宋体"/>
          <w:color w:val="auto"/>
          <w:szCs w:val="21"/>
          <w:highlight w:val="none"/>
        </w:rPr>
      </w:pPr>
      <w:bookmarkStart w:id="1289" w:name="_Toc304295581"/>
      <w:bookmarkStart w:id="1290" w:name="_Toc312678042"/>
      <w:bookmarkStart w:id="1291" w:name="_Toc300935004"/>
      <w:bookmarkStart w:id="1292" w:name="_Toc297123554"/>
      <w:bookmarkStart w:id="1293" w:name="_Toc297216213"/>
      <w:bookmarkStart w:id="1294" w:name="_Toc303539161"/>
      <w:bookmarkStart w:id="1295" w:name="_Toc296944546"/>
      <w:bookmarkStart w:id="1296" w:name="_Toc296503207"/>
      <w:bookmarkStart w:id="1297" w:name="_Toc296347206"/>
      <w:bookmarkStart w:id="1298" w:name="_Toc296346708"/>
      <w:bookmarkStart w:id="1299" w:name="_Toc292559412"/>
      <w:bookmarkStart w:id="1300" w:name="_Toc297048393"/>
      <w:bookmarkStart w:id="1301" w:name="_Toc297120507"/>
      <w:bookmarkStart w:id="1302" w:name="_Toc296891035"/>
      <w:bookmarkStart w:id="1303" w:name="_Toc296891247"/>
      <w:bookmarkStart w:id="1304" w:name="_Toc292559917"/>
      <w:r>
        <w:rPr>
          <w:rFonts w:hint="eastAsia" w:ascii="宋体" w:hAnsi="宋体" w:cs="宋体"/>
          <w:color w:val="auto"/>
          <w:szCs w:val="21"/>
          <w:highlight w:val="none"/>
        </w:rPr>
        <w:t>12.2 预付款</w:t>
      </w:r>
    </w:p>
    <w:bookmarkEnd w:id="1289"/>
    <w:bookmarkEnd w:id="1290"/>
    <w:bookmarkEnd w:id="1291"/>
    <w:bookmarkEnd w:id="1292"/>
    <w:bookmarkEnd w:id="1293"/>
    <w:bookmarkEnd w:id="1294"/>
    <w:p w14:paraId="2BBB826F">
      <w:pPr>
        <w:spacing w:line="480" w:lineRule="exact"/>
        <w:ind w:firstLine="420" w:firstLineChars="200"/>
        <w:jc w:val="left"/>
        <w:rPr>
          <w:rFonts w:ascii="宋体" w:hAnsi="宋体" w:cs="宋体"/>
          <w:color w:val="auto"/>
          <w:szCs w:val="21"/>
          <w:highlight w:val="none"/>
        </w:rPr>
      </w:pPr>
      <w:r>
        <w:rPr>
          <w:rFonts w:hint="eastAsia" w:ascii="宋体" w:hAnsi="宋体" w:cs="宋体"/>
          <w:color w:val="auto"/>
          <w:szCs w:val="21"/>
          <w:highlight w:val="none"/>
        </w:rPr>
        <w:t>12.2.1 预付款的支付</w:t>
      </w:r>
    </w:p>
    <w:p w14:paraId="521455CE">
      <w:pPr>
        <w:spacing w:line="480" w:lineRule="exact"/>
        <w:ind w:firstLine="420" w:firstLineChars="200"/>
        <w:jc w:val="left"/>
        <w:rPr>
          <w:rFonts w:ascii="宋体" w:hAnsi="宋体" w:cs="宋体"/>
          <w:color w:val="auto"/>
          <w:szCs w:val="21"/>
          <w:highlight w:val="none"/>
        </w:rPr>
      </w:pPr>
      <w:r>
        <w:rPr>
          <w:rFonts w:hint="eastAsia" w:ascii="宋体" w:hAnsi="宋体" w:cs="宋体"/>
          <w:color w:val="auto"/>
          <w:szCs w:val="21"/>
          <w:highlight w:val="none"/>
        </w:rPr>
        <w:t>预付款支付比例或金额：</w:t>
      </w:r>
      <w:r>
        <w:rPr>
          <w:rFonts w:hint="eastAsia" w:ascii="宋体" w:hAnsi="宋体" w:cs="宋体"/>
          <w:color w:val="auto"/>
          <w:szCs w:val="21"/>
          <w:highlight w:val="none"/>
          <w:u w:val="single"/>
        </w:rPr>
        <w:t xml:space="preserve">  </w:t>
      </w:r>
      <w:r>
        <w:rPr>
          <w:rFonts w:hint="eastAsia" w:ascii="宋体" w:hAnsi="宋体" w:cs="宋体"/>
          <w:color w:val="auto"/>
          <w:szCs w:val="21"/>
          <w:highlight w:val="none"/>
          <w:u w:val="single"/>
          <w:lang w:val="en-US" w:eastAsia="zh-CN"/>
        </w:rPr>
        <w:t>无</w:t>
      </w:r>
      <w:r>
        <w:rPr>
          <w:rFonts w:hint="eastAsia" w:ascii="宋体" w:hAnsi="宋体" w:cs="宋体"/>
          <w:color w:val="auto"/>
          <w:szCs w:val="21"/>
          <w:highlight w:val="none"/>
          <w:u w:val="single"/>
        </w:rPr>
        <w:t xml:space="preserve"> </w:t>
      </w:r>
      <w:r>
        <w:rPr>
          <w:rFonts w:hint="eastAsia" w:ascii="宋体" w:hAnsi="宋体" w:cs="宋体"/>
          <w:color w:val="auto"/>
          <w:szCs w:val="21"/>
          <w:highlight w:val="none"/>
        </w:rPr>
        <w:t>。</w:t>
      </w:r>
    </w:p>
    <w:p w14:paraId="450A5CEE">
      <w:pPr>
        <w:spacing w:line="480" w:lineRule="exact"/>
        <w:ind w:firstLine="420" w:firstLineChars="200"/>
        <w:jc w:val="left"/>
        <w:rPr>
          <w:rFonts w:ascii="宋体" w:hAnsi="宋体" w:cs="宋体"/>
          <w:color w:val="auto"/>
          <w:szCs w:val="21"/>
          <w:highlight w:val="none"/>
        </w:rPr>
      </w:pPr>
      <w:r>
        <w:rPr>
          <w:rFonts w:hint="eastAsia" w:ascii="宋体" w:hAnsi="宋体" w:cs="宋体"/>
          <w:color w:val="auto"/>
          <w:szCs w:val="21"/>
          <w:highlight w:val="none"/>
        </w:rPr>
        <w:t>预付款支付期限：</w:t>
      </w:r>
      <w:r>
        <w:rPr>
          <w:rFonts w:hint="eastAsia" w:ascii="宋体" w:hAnsi="宋体" w:cs="宋体"/>
          <w:color w:val="auto"/>
          <w:szCs w:val="21"/>
          <w:highlight w:val="none"/>
          <w:u w:val="single"/>
        </w:rPr>
        <w:t xml:space="preserve">   </w:t>
      </w:r>
      <w:r>
        <w:rPr>
          <w:rFonts w:hint="eastAsia" w:ascii="宋体" w:hAnsi="宋体" w:cs="宋体"/>
          <w:color w:val="auto"/>
          <w:szCs w:val="21"/>
          <w:highlight w:val="none"/>
          <w:u w:val="single"/>
          <w:lang w:val="en-US" w:eastAsia="zh-CN"/>
        </w:rPr>
        <w:t>合同签订后10日内</w:t>
      </w:r>
      <w:r>
        <w:rPr>
          <w:rFonts w:hint="eastAsia" w:ascii="宋体" w:hAnsi="宋体" w:cs="宋体"/>
          <w:color w:val="auto"/>
          <w:szCs w:val="21"/>
          <w:highlight w:val="none"/>
          <w:u w:val="single"/>
        </w:rPr>
        <w:t xml:space="preserve">   </w:t>
      </w:r>
      <w:r>
        <w:rPr>
          <w:rFonts w:hint="eastAsia" w:ascii="宋体" w:hAnsi="宋体" w:cs="宋体"/>
          <w:color w:val="auto"/>
          <w:szCs w:val="21"/>
          <w:highlight w:val="none"/>
        </w:rPr>
        <w:t>。</w:t>
      </w:r>
    </w:p>
    <w:p w14:paraId="6F757ABB">
      <w:pPr>
        <w:spacing w:line="480" w:lineRule="exact"/>
        <w:ind w:firstLine="420" w:firstLineChars="200"/>
        <w:jc w:val="left"/>
        <w:rPr>
          <w:rFonts w:ascii="宋体" w:hAnsi="宋体" w:cs="宋体"/>
          <w:color w:val="auto"/>
          <w:szCs w:val="21"/>
          <w:highlight w:val="none"/>
        </w:rPr>
      </w:pPr>
      <w:r>
        <w:rPr>
          <w:rFonts w:hint="eastAsia" w:ascii="宋体" w:hAnsi="宋体" w:cs="宋体"/>
          <w:color w:val="auto"/>
          <w:szCs w:val="21"/>
          <w:highlight w:val="none"/>
        </w:rPr>
        <w:t>12.2.2 预付款担保</w:t>
      </w:r>
    </w:p>
    <w:p w14:paraId="38CB37FA">
      <w:pPr>
        <w:spacing w:line="480" w:lineRule="exact"/>
        <w:ind w:firstLine="420" w:firstLineChars="200"/>
        <w:jc w:val="left"/>
        <w:rPr>
          <w:rFonts w:ascii="宋体" w:hAnsi="宋体" w:cs="宋体"/>
          <w:color w:val="auto"/>
          <w:szCs w:val="21"/>
          <w:highlight w:val="none"/>
        </w:rPr>
      </w:pPr>
      <w:r>
        <w:rPr>
          <w:rFonts w:hint="eastAsia" w:ascii="宋体" w:hAnsi="宋体" w:cs="宋体"/>
          <w:color w:val="auto"/>
          <w:szCs w:val="21"/>
          <w:highlight w:val="none"/>
        </w:rPr>
        <w:t>承包人提交预付款担保的</w:t>
      </w:r>
      <w:r>
        <w:rPr>
          <w:rFonts w:hint="eastAsia" w:ascii="宋体" w:hAnsi="宋体" w:cs="宋体"/>
          <w:color w:val="auto"/>
          <w:szCs w:val="21"/>
          <w:highlight w:val="none"/>
          <w:lang w:val="en-US" w:eastAsia="zh-CN"/>
        </w:rPr>
        <w:t>时间</w:t>
      </w:r>
      <w:r>
        <w:rPr>
          <w:rFonts w:hint="eastAsia" w:ascii="宋体" w:hAnsi="宋体" w:cs="宋体"/>
          <w:color w:val="auto"/>
          <w:szCs w:val="21"/>
          <w:highlight w:val="none"/>
        </w:rPr>
        <w:t>：</w:t>
      </w:r>
      <w:r>
        <w:rPr>
          <w:rFonts w:hint="eastAsia" w:ascii="宋体" w:hAnsi="宋体" w:cs="宋体"/>
          <w:color w:val="auto"/>
          <w:szCs w:val="21"/>
          <w:highlight w:val="none"/>
          <w:u w:val="single"/>
        </w:rPr>
        <w:t xml:space="preserve">  </w:t>
      </w:r>
      <w:r>
        <w:rPr>
          <w:rFonts w:hint="eastAsia" w:ascii="宋体" w:hAnsi="宋体" w:cs="宋体"/>
          <w:color w:val="auto"/>
          <w:szCs w:val="21"/>
          <w:highlight w:val="none"/>
          <w:u w:val="single"/>
          <w:lang w:val="en-US" w:eastAsia="zh-CN"/>
        </w:rPr>
        <w:t xml:space="preserve">/ </w:t>
      </w:r>
      <w:r>
        <w:rPr>
          <w:rFonts w:hint="eastAsia" w:ascii="宋体" w:hAnsi="宋体" w:cs="宋体"/>
          <w:color w:val="auto"/>
          <w:szCs w:val="21"/>
          <w:highlight w:val="none"/>
          <w:u w:val="single"/>
        </w:rPr>
        <w:t xml:space="preserve">   </w:t>
      </w:r>
      <w:r>
        <w:rPr>
          <w:rFonts w:hint="eastAsia" w:ascii="宋体" w:hAnsi="宋体" w:cs="宋体"/>
          <w:color w:val="auto"/>
          <w:szCs w:val="21"/>
          <w:highlight w:val="none"/>
        </w:rPr>
        <w:t>。</w:t>
      </w:r>
    </w:p>
    <w:p w14:paraId="69366018">
      <w:pPr>
        <w:spacing w:line="480" w:lineRule="exact"/>
        <w:ind w:firstLine="420" w:firstLineChars="200"/>
        <w:jc w:val="left"/>
        <w:rPr>
          <w:rFonts w:ascii="宋体" w:hAnsi="宋体" w:cs="宋体"/>
          <w:color w:val="auto"/>
          <w:szCs w:val="21"/>
          <w:highlight w:val="none"/>
        </w:rPr>
      </w:pPr>
      <w:r>
        <w:rPr>
          <w:rFonts w:hint="eastAsia" w:ascii="宋体" w:hAnsi="宋体" w:cs="宋体"/>
          <w:color w:val="auto"/>
          <w:szCs w:val="21"/>
          <w:highlight w:val="none"/>
        </w:rPr>
        <w:t>预付款担保的形式为：</w:t>
      </w:r>
      <w:r>
        <w:rPr>
          <w:rFonts w:hint="eastAsia" w:ascii="宋体" w:hAnsi="宋体" w:cs="宋体"/>
          <w:color w:val="auto"/>
          <w:szCs w:val="21"/>
          <w:highlight w:val="none"/>
          <w:u w:val="single"/>
        </w:rPr>
        <w:t xml:space="preserve">     </w:t>
      </w:r>
      <w:r>
        <w:rPr>
          <w:rFonts w:hint="eastAsia" w:ascii="宋体" w:hAnsi="宋体" w:cs="宋体"/>
          <w:color w:val="auto"/>
          <w:szCs w:val="21"/>
          <w:highlight w:val="none"/>
          <w:u w:val="single"/>
          <w:lang w:val="en-US" w:eastAsia="zh-CN"/>
        </w:rPr>
        <w:t>/</w:t>
      </w:r>
      <w:r>
        <w:rPr>
          <w:rFonts w:hint="eastAsia" w:ascii="宋体" w:hAnsi="宋体" w:cs="宋体"/>
          <w:color w:val="auto"/>
          <w:szCs w:val="21"/>
          <w:highlight w:val="none"/>
          <w:u w:val="single"/>
        </w:rPr>
        <w:t xml:space="preserve">   </w:t>
      </w:r>
      <w:r>
        <w:rPr>
          <w:rFonts w:hint="eastAsia" w:ascii="宋体" w:hAnsi="宋体" w:cs="宋体"/>
          <w:color w:val="auto"/>
          <w:szCs w:val="21"/>
          <w:highlight w:val="none"/>
        </w:rPr>
        <w:t>。</w:t>
      </w:r>
    </w:p>
    <w:bookmarkEnd w:id="1295"/>
    <w:bookmarkEnd w:id="1296"/>
    <w:bookmarkEnd w:id="1297"/>
    <w:bookmarkEnd w:id="1298"/>
    <w:bookmarkEnd w:id="1299"/>
    <w:bookmarkEnd w:id="1300"/>
    <w:bookmarkEnd w:id="1301"/>
    <w:bookmarkEnd w:id="1302"/>
    <w:bookmarkEnd w:id="1303"/>
    <w:bookmarkEnd w:id="1304"/>
    <w:p w14:paraId="62BE096D">
      <w:pPr>
        <w:spacing w:line="480" w:lineRule="exact"/>
        <w:ind w:firstLine="420" w:firstLineChars="200"/>
        <w:rPr>
          <w:rFonts w:ascii="宋体" w:hAnsi="宋体" w:cs="宋体"/>
          <w:color w:val="auto"/>
          <w:szCs w:val="21"/>
          <w:highlight w:val="none"/>
        </w:rPr>
      </w:pPr>
      <w:r>
        <w:rPr>
          <w:rFonts w:hint="eastAsia" w:ascii="宋体" w:hAnsi="宋体" w:cs="宋体"/>
          <w:color w:val="auto"/>
          <w:szCs w:val="21"/>
          <w:highlight w:val="none"/>
        </w:rPr>
        <w:t>12.3 计量</w:t>
      </w:r>
    </w:p>
    <w:p w14:paraId="02175CFB">
      <w:pPr>
        <w:spacing w:line="480" w:lineRule="exact"/>
        <w:ind w:firstLine="420" w:firstLineChars="200"/>
        <w:jc w:val="left"/>
        <w:rPr>
          <w:rFonts w:ascii="宋体" w:hAnsi="宋体" w:cs="宋体"/>
          <w:color w:val="auto"/>
          <w:szCs w:val="21"/>
          <w:highlight w:val="none"/>
        </w:rPr>
      </w:pPr>
      <w:r>
        <w:rPr>
          <w:rFonts w:hint="eastAsia" w:ascii="宋体" w:hAnsi="宋体" w:cs="宋体"/>
          <w:color w:val="auto"/>
          <w:szCs w:val="21"/>
          <w:highlight w:val="none"/>
        </w:rPr>
        <w:t>12.3.1 计量原则</w:t>
      </w:r>
    </w:p>
    <w:p w14:paraId="5A89C212">
      <w:pPr>
        <w:spacing w:line="480" w:lineRule="exact"/>
        <w:ind w:firstLine="420" w:firstLineChars="200"/>
        <w:jc w:val="left"/>
        <w:rPr>
          <w:rFonts w:ascii="宋体" w:hAnsi="宋体" w:cs="宋体"/>
          <w:color w:val="auto"/>
          <w:szCs w:val="21"/>
          <w:highlight w:val="none"/>
        </w:rPr>
      </w:pPr>
      <w:r>
        <w:rPr>
          <w:rFonts w:hint="eastAsia" w:ascii="宋体" w:hAnsi="宋体" w:cs="宋体"/>
          <w:color w:val="auto"/>
          <w:szCs w:val="21"/>
          <w:highlight w:val="none"/>
        </w:rPr>
        <w:t>工程量计算规则：</w:t>
      </w:r>
      <w:r>
        <w:rPr>
          <w:rFonts w:hint="eastAsia" w:ascii="宋体" w:hAnsi="宋体" w:cs="宋体"/>
          <w:color w:val="auto"/>
          <w:kern w:val="0"/>
          <w:szCs w:val="21"/>
          <w:highlight w:val="none"/>
        </w:rPr>
        <w:t>参照</w:t>
      </w:r>
      <w:r>
        <w:rPr>
          <w:rFonts w:hint="eastAsia" w:ascii="宋体" w:hAnsi="宋体" w:cs="宋体"/>
          <w:color w:val="auto"/>
          <w:szCs w:val="21"/>
          <w:highlight w:val="none"/>
        </w:rPr>
        <w:t>《建设工程工程量清单计价规范》（GB50500-2013）、《重庆市建设工程工程量清单计价规则》（CQJJGZ-2013）、《市政工程工程量计算规范》（GB50857-2013）和《重庆市房屋建筑与装饰工程计价定额》（CQJZZSDE-2018）、《重庆市绿色建筑工程计价定额》（CQLSJZDE-2018）、《重庆市市政工程计价定额》（CQSDDE-2018）、《重庆市园林绿化工程计价定额》（CQYLLHDE-2018）、《重庆市房屋修缮工程计价定额》（CQXSDE-2018）、《重庆市仿古建筑工程计价定额》（CQSDDE-2018）、《重庆市通用安装工程计价定额》（CQAZDE-2018）、《重庆市建设工程费用定额》（CQFYDE-2018）、渝建发〔2014〕27号、渝建价发〔2014〕6号、渝建发〔2013〕85号、</w:t>
      </w:r>
      <w:r>
        <w:rPr>
          <w:rFonts w:hint="eastAsia" w:ascii="宋体" w:hAnsi="宋体" w:cs="宋体"/>
          <w:b/>
          <w:color w:val="auto"/>
          <w:szCs w:val="21"/>
          <w:highlight w:val="none"/>
        </w:rPr>
        <w:t>重庆市城乡建设委员会《关于建筑业营业税改增值税调整建设工程计价依据的通知》（渝建发[2016]35号）、重庆市城乡建设委员会《关于适用增值税新税率调整建设工程计价依据的通知》渝建发[2019]143号）、</w:t>
      </w:r>
      <w:r>
        <w:rPr>
          <w:rFonts w:hint="eastAsia" w:ascii="宋体" w:hAnsi="宋体"/>
          <w:color w:val="auto"/>
          <w:szCs w:val="21"/>
          <w:highlight w:val="none"/>
          <w:u w:val="single"/>
        </w:rPr>
        <w:t>《重庆市住房和城乡建设委员会关于调整建设施工现场形象品质提升安全文明施工费记取的通知》（渝建管〔2020〕97号）</w:t>
      </w:r>
      <w:r>
        <w:rPr>
          <w:rFonts w:hint="eastAsia" w:ascii="宋体" w:hAnsi="宋体" w:cs="宋体"/>
          <w:color w:val="auto"/>
          <w:szCs w:val="21"/>
          <w:highlight w:val="none"/>
        </w:rPr>
        <w:t>及相关配套文件执行。</w:t>
      </w:r>
    </w:p>
    <w:p w14:paraId="21575146">
      <w:pPr>
        <w:pStyle w:val="286"/>
        <w:autoSpaceDE w:val="0"/>
        <w:autoSpaceDN w:val="0"/>
        <w:adjustRightInd w:val="0"/>
        <w:spacing w:line="480" w:lineRule="exact"/>
        <w:ind w:firstLineChars="200"/>
        <w:rPr>
          <w:color w:val="auto"/>
          <w:sz w:val="21"/>
          <w:szCs w:val="21"/>
          <w:highlight w:val="none"/>
        </w:rPr>
      </w:pPr>
      <w:r>
        <w:rPr>
          <w:rFonts w:hint="eastAsia"/>
          <w:color w:val="auto"/>
          <w:sz w:val="21"/>
          <w:szCs w:val="21"/>
          <w:highlight w:val="none"/>
        </w:rPr>
        <w:t>结算原则 ：</w:t>
      </w:r>
    </w:p>
    <w:p w14:paraId="0C59009F">
      <w:pPr>
        <w:spacing w:line="430" w:lineRule="exact"/>
        <w:ind w:firstLine="424" w:firstLineChars="200"/>
        <w:rPr>
          <w:rFonts w:ascii="宋体" w:hAnsi="宋体" w:cs="宋体"/>
          <w:color w:val="auto"/>
          <w:highlight w:val="none"/>
        </w:rPr>
      </w:pPr>
      <w:r>
        <w:rPr>
          <w:rFonts w:hint="eastAsia" w:ascii="宋体" w:hAnsi="宋体" w:cs="宋体"/>
          <w:color w:val="auto"/>
          <w:spacing w:val="1"/>
          <w:kern w:val="0"/>
          <w:szCs w:val="21"/>
          <w:highlight w:val="none"/>
        </w:rPr>
        <w:t>（1）</w:t>
      </w:r>
      <w:r>
        <w:rPr>
          <w:rFonts w:hint="eastAsia" w:ascii="宋体" w:hAnsi="宋体" w:cs="宋体"/>
          <w:snapToGrid w:val="0"/>
          <w:color w:val="auto"/>
          <w:szCs w:val="21"/>
          <w:highlight w:val="none"/>
        </w:rPr>
        <w:t>结算价 = 竞选时所报的综合单价* 实际完成工程量 + 安全文明施工费用的实际发生金额+工程变更及新增(减)项目价款调整+</w:t>
      </w:r>
      <w:r>
        <w:rPr>
          <w:rFonts w:hint="eastAsia" w:ascii="宋体" w:hAnsi="宋体" w:cs="宋体"/>
          <w:color w:val="auto"/>
          <w:kern w:val="10"/>
          <w:szCs w:val="21"/>
          <w:highlight w:val="none"/>
        </w:rPr>
        <w:t>措施费</w:t>
      </w:r>
      <w:r>
        <w:rPr>
          <w:rFonts w:hint="eastAsia" w:ascii="宋体" w:hAnsi="宋体" w:cs="宋体"/>
          <w:snapToGrid w:val="0"/>
          <w:color w:val="auto"/>
          <w:szCs w:val="21"/>
          <w:highlight w:val="none"/>
        </w:rPr>
        <w:t>+规费</w:t>
      </w:r>
      <w:r>
        <w:rPr>
          <w:rFonts w:hint="eastAsia" w:ascii="宋体" w:hAnsi="宋体" w:cs="宋体"/>
          <w:color w:val="auto"/>
          <w:kern w:val="10"/>
          <w:szCs w:val="21"/>
          <w:highlight w:val="none"/>
        </w:rPr>
        <w:t>+</w:t>
      </w:r>
      <w:r>
        <w:rPr>
          <w:rFonts w:hint="eastAsia" w:ascii="宋体" w:hAnsi="宋体" w:cs="宋体"/>
          <w:snapToGrid w:val="0"/>
          <w:color w:val="auto"/>
          <w:szCs w:val="21"/>
          <w:highlight w:val="none"/>
        </w:rPr>
        <w:t>税金+（-）索赔等费用</w:t>
      </w:r>
      <w:r>
        <w:rPr>
          <w:rFonts w:hint="eastAsia" w:ascii="宋体" w:hAnsi="宋体" w:cs="宋体"/>
          <w:color w:val="auto"/>
          <w:highlight w:val="none"/>
        </w:rPr>
        <w:t>。</w:t>
      </w:r>
    </w:p>
    <w:p w14:paraId="14BFF849">
      <w:pPr>
        <w:autoSpaceDE w:val="0"/>
        <w:autoSpaceDN w:val="0"/>
        <w:adjustRightInd w:val="0"/>
        <w:snapToGrid w:val="0"/>
        <w:spacing w:line="430" w:lineRule="exact"/>
        <w:ind w:firstLine="315" w:firstLineChars="150"/>
        <w:jc w:val="left"/>
        <w:rPr>
          <w:rFonts w:ascii="宋体" w:hAnsi="宋体" w:cs="宋体"/>
          <w:snapToGrid w:val="0"/>
          <w:color w:val="auto"/>
          <w:kern w:val="0"/>
          <w:szCs w:val="21"/>
          <w:highlight w:val="none"/>
        </w:rPr>
      </w:pPr>
      <w:r>
        <w:rPr>
          <w:rFonts w:hint="eastAsia" w:ascii="宋体" w:hAnsi="宋体" w:cs="宋体"/>
          <w:snapToGrid w:val="0"/>
          <w:color w:val="auto"/>
          <w:kern w:val="0"/>
          <w:szCs w:val="21"/>
          <w:highlight w:val="none"/>
        </w:rPr>
        <w:t>（2）安全文明施工费实际发生金额：按照“</w:t>
      </w:r>
      <w:r>
        <w:rPr>
          <w:rFonts w:hint="eastAsia" w:ascii="宋体" w:hAnsi="宋体" w:cs="宋体"/>
          <w:color w:val="auto"/>
          <w:kern w:val="0"/>
          <w:szCs w:val="21"/>
          <w:highlight w:val="none"/>
          <w:shd w:val="clear" w:color="auto" w:fill="FFFFFF"/>
          <w:lang w:bidi="ar"/>
        </w:rPr>
        <w:t>渝建管〔2024〕38号</w:t>
      </w:r>
      <w:r>
        <w:rPr>
          <w:rFonts w:hint="eastAsia" w:ascii="宋体" w:hAnsi="宋体" w:cs="宋体"/>
          <w:snapToGrid w:val="0"/>
          <w:color w:val="auto"/>
          <w:kern w:val="0"/>
          <w:szCs w:val="21"/>
          <w:highlight w:val="none"/>
        </w:rPr>
        <w:t>”文件予以调整。</w:t>
      </w:r>
    </w:p>
    <w:p w14:paraId="7054DA31">
      <w:pPr>
        <w:autoSpaceDE w:val="0"/>
        <w:autoSpaceDN w:val="0"/>
        <w:adjustRightInd w:val="0"/>
        <w:snapToGrid w:val="0"/>
        <w:spacing w:line="430" w:lineRule="exact"/>
        <w:ind w:firstLine="315" w:firstLineChars="150"/>
        <w:jc w:val="left"/>
        <w:rPr>
          <w:rFonts w:ascii="宋体" w:hAnsi="宋体" w:cs="宋体"/>
          <w:snapToGrid w:val="0"/>
          <w:color w:val="auto"/>
          <w:kern w:val="0"/>
          <w:szCs w:val="21"/>
          <w:highlight w:val="none"/>
        </w:rPr>
      </w:pPr>
      <w:r>
        <w:rPr>
          <w:rFonts w:hint="eastAsia" w:ascii="宋体" w:hAnsi="宋体" w:cs="宋体"/>
          <w:snapToGrid w:val="0"/>
          <w:color w:val="auto"/>
          <w:kern w:val="0"/>
          <w:szCs w:val="21"/>
          <w:highlight w:val="none"/>
        </w:rPr>
        <w:t>（3）措施费：无论设计变更或施工工艺等所有其他因素改变，其措施费均按竞选报价结算不作调整；</w:t>
      </w:r>
    </w:p>
    <w:p w14:paraId="60930578">
      <w:pPr>
        <w:autoSpaceDE w:val="0"/>
        <w:autoSpaceDN w:val="0"/>
        <w:adjustRightInd w:val="0"/>
        <w:snapToGrid w:val="0"/>
        <w:spacing w:line="480" w:lineRule="exact"/>
        <w:ind w:firstLine="315" w:firstLineChars="150"/>
        <w:jc w:val="left"/>
        <w:rPr>
          <w:rFonts w:ascii="宋体" w:hAnsi="宋体" w:cs="宋体"/>
          <w:snapToGrid w:val="0"/>
          <w:color w:val="auto"/>
          <w:szCs w:val="21"/>
          <w:highlight w:val="none"/>
          <w:u w:val="single"/>
        </w:rPr>
      </w:pPr>
      <w:r>
        <w:rPr>
          <w:rFonts w:hint="eastAsia" w:ascii="宋体" w:hAnsi="宋体" w:cs="宋体"/>
          <w:snapToGrid w:val="0"/>
          <w:color w:val="auto"/>
          <w:kern w:val="0"/>
          <w:szCs w:val="21"/>
          <w:highlight w:val="none"/>
        </w:rPr>
        <w:t>（4）规费：</w:t>
      </w:r>
      <w:r>
        <w:rPr>
          <w:rFonts w:hint="eastAsia" w:ascii="宋体" w:hAnsi="宋体" w:cs="宋体"/>
          <w:color w:val="auto"/>
          <w:szCs w:val="21"/>
          <w:highlight w:val="none"/>
        </w:rPr>
        <w:t>按重庆市建设主管部门现行规定执行</w:t>
      </w:r>
      <w:r>
        <w:rPr>
          <w:rFonts w:hint="eastAsia" w:ascii="宋体" w:hAnsi="宋体" w:cs="宋体"/>
          <w:snapToGrid w:val="0"/>
          <w:color w:val="auto"/>
          <w:kern w:val="0"/>
          <w:szCs w:val="21"/>
          <w:highlight w:val="none"/>
        </w:rPr>
        <w:t>。</w:t>
      </w:r>
    </w:p>
    <w:p w14:paraId="183A767D">
      <w:pPr>
        <w:autoSpaceDE w:val="0"/>
        <w:autoSpaceDN w:val="0"/>
        <w:adjustRightInd w:val="0"/>
        <w:snapToGrid w:val="0"/>
        <w:spacing w:line="480" w:lineRule="exact"/>
        <w:ind w:firstLine="315" w:firstLineChars="150"/>
        <w:jc w:val="left"/>
        <w:rPr>
          <w:rFonts w:ascii="宋体" w:hAnsi="宋体" w:cs="宋体"/>
          <w:color w:val="auto"/>
          <w:kern w:val="10"/>
          <w:szCs w:val="21"/>
          <w:highlight w:val="none"/>
        </w:rPr>
      </w:pPr>
      <w:r>
        <w:rPr>
          <w:rFonts w:hint="eastAsia" w:ascii="宋体" w:hAnsi="宋体" w:cs="宋体"/>
          <w:color w:val="auto"/>
          <w:kern w:val="10"/>
          <w:szCs w:val="21"/>
          <w:highlight w:val="none"/>
        </w:rPr>
        <w:t>（5）施工围挡费用已包含在竞选综合报价之中，结算时不另行计价。</w:t>
      </w:r>
    </w:p>
    <w:p w14:paraId="76E7BB40">
      <w:pPr>
        <w:widowControl/>
        <w:spacing w:line="480" w:lineRule="exact"/>
        <w:jc w:val="left"/>
        <w:rPr>
          <w:rFonts w:ascii="宋体" w:hAnsi="宋体" w:cs="宋体"/>
          <w:color w:val="auto"/>
          <w:szCs w:val="21"/>
          <w:highlight w:val="none"/>
        </w:rPr>
      </w:pPr>
      <w:r>
        <w:rPr>
          <w:rFonts w:hint="eastAsia" w:ascii="宋体" w:hAnsi="宋体" w:cs="宋体"/>
          <w:color w:val="auto"/>
          <w:szCs w:val="21"/>
          <w:highlight w:val="none"/>
        </w:rPr>
        <w:t xml:space="preserve">    (6)工程变更及</w:t>
      </w:r>
      <w:r>
        <w:rPr>
          <w:rFonts w:hint="eastAsia" w:ascii="宋体" w:hAnsi="宋体" w:cs="宋体"/>
          <w:snapToGrid w:val="0"/>
          <w:color w:val="auto"/>
          <w:szCs w:val="21"/>
          <w:highlight w:val="none"/>
        </w:rPr>
        <w:t>新增(减)项目价款:按10.4.1条执行。</w:t>
      </w:r>
    </w:p>
    <w:p w14:paraId="2F04143E">
      <w:pPr>
        <w:spacing w:line="480" w:lineRule="exact"/>
        <w:ind w:firstLine="420" w:firstLineChars="200"/>
        <w:jc w:val="left"/>
        <w:rPr>
          <w:rFonts w:ascii="宋体" w:hAnsi="宋体" w:cs="宋体"/>
          <w:color w:val="auto"/>
          <w:szCs w:val="21"/>
          <w:highlight w:val="none"/>
        </w:rPr>
      </w:pPr>
      <w:r>
        <w:rPr>
          <w:rFonts w:hint="eastAsia" w:ascii="宋体" w:hAnsi="宋体" w:cs="宋体"/>
          <w:color w:val="auto"/>
          <w:szCs w:val="21"/>
          <w:highlight w:val="none"/>
        </w:rPr>
        <w:t>12.3.2 计量周期</w:t>
      </w:r>
    </w:p>
    <w:p w14:paraId="2DE1BDCA">
      <w:pPr>
        <w:spacing w:line="480" w:lineRule="exact"/>
        <w:ind w:firstLine="420" w:firstLineChars="200"/>
        <w:jc w:val="left"/>
        <w:rPr>
          <w:rFonts w:ascii="宋体" w:hAnsi="宋体" w:cs="宋体"/>
          <w:color w:val="auto"/>
          <w:szCs w:val="21"/>
          <w:highlight w:val="none"/>
        </w:rPr>
      </w:pPr>
      <w:r>
        <w:rPr>
          <w:rFonts w:hint="eastAsia" w:ascii="宋体" w:hAnsi="宋体" w:cs="宋体"/>
          <w:color w:val="auto"/>
          <w:szCs w:val="21"/>
          <w:highlight w:val="none"/>
        </w:rPr>
        <w:t>关于计量周期的约定：</w:t>
      </w:r>
      <w:bookmarkStart w:id="1305" w:name="OLE_LINK67"/>
      <w:bookmarkStart w:id="1306" w:name="OLE_LINK66"/>
      <w:r>
        <w:rPr>
          <w:rFonts w:hint="eastAsia" w:ascii="宋体" w:hAnsi="宋体" w:cs="宋体"/>
          <w:color w:val="auto"/>
          <w:szCs w:val="21"/>
          <w:highlight w:val="none"/>
          <w:u w:val="single"/>
        </w:rPr>
        <w:t>按月进行</w:t>
      </w:r>
      <w:bookmarkEnd w:id="1305"/>
      <w:bookmarkEnd w:id="1306"/>
      <w:r>
        <w:rPr>
          <w:rFonts w:hint="eastAsia" w:ascii="宋体" w:hAnsi="宋体" w:cs="宋体"/>
          <w:color w:val="auto"/>
          <w:szCs w:val="21"/>
          <w:highlight w:val="none"/>
        </w:rPr>
        <w:t>。</w:t>
      </w:r>
    </w:p>
    <w:p w14:paraId="11AC48A7">
      <w:pPr>
        <w:spacing w:line="480" w:lineRule="exact"/>
        <w:ind w:firstLine="420" w:firstLineChars="200"/>
        <w:jc w:val="left"/>
        <w:rPr>
          <w:rFonts w:ascii="宋体" w:hAnsi="宋体" w:cs="宋体"/>
          <w:color w:val="auto"/>
          <w:szCs w:val="21"/>
          <w:highlight w:val="none"/>
        </w:rPr>
      </w:pPr>
      <w:r>
        <w:rPr>
          <w:rFonts w:hint="eastAsia" w:ascii="宋体" w:hAnsi="宋体" w:cs="宋体"/>
          <w:color w:val="auto"/>
          <w:szCs w:val="21"/>
          <w:highlight w:val="none"/>
        </w:rPr>
        <w:t>12.3.3 单价合同的计量</w:t>
      </w:r>
    </w:p>
    <w:p w14:paraId="404F95A8">
      <w:pPr>
        <w:spacing w:line="480" w:lineRule="exact"/>
        <w:ind w:firstLine="420" w:firstLineChars="200"/>
        <w:jc w:val="left"/>
        <w:rPr>
          <w:rFonts w:ascii="宋体" w:hAnsi="宋体" w:cs="宋体"/>
          <w:color w:val="auto"/>
          <w:szCs w:val="21"/>
          <w:highlight w:val="none"/>
        </w:rPr>
      </w:pPr>
      <w:r>
        <w:rPr>
          <w:rFonts w:hint="eastAsia" w:ascii="宋体" w:hAnsi="宋体" w:cs="宋体"/>
          <w:color w:val="auto"/>
          <w:szCs w:val="21"/>
          <w:highlight w:val="none"/>
        </w:rPr>
        <w:t>关于单价合同计量的约定：</w:t>
      </w:r>
      <w:r>
        <w:rPr>
          <w:rFonts w:hint="eastAsia" w:ascii="宋体" w:hAnsi="宋体" w:cs="宋体"/>
          <w:color w:val="auto"/>
          <w:szCs w:val="21"/>
          <w:highlight w:val="none"/>
          <w:u w:val="single"/>
        </w:rPr>
        <w:t>每月25日报送已完工程量</w:t>
      </w:r>
      <w:r>
        <w:rPr>
          <w:rFonts w:hint="eastAsia" w:ascii="宋体" w:hAnsi="宋体" w:cs="宋体"/>
          <w:color w:val="auto"/>
          <w:szCs w:val="21"/>
          <w:highlight w:val="none"/>
        </w:rPr>
        <w:t>。</w:t>
      </w:r>
    </w:p>
    <w:p w14:paraId="384E43F2">
      <w:pPr>
        <w:spacing w:line="480" w:lineRule="exact"/>
        <w:ind w:firstLine="420" w:firstLineChars="200"/>
        <w:rPr>
          <w:rFonts w:ascii="宋体" w:hAnsi="宋体" w:cs="宋体"/>
          <w:color w:val="auto"/>
          <w:szCs w:val="21"/>
          <w:highlight w:val="none"/>
        </w:rPr>
      </w:pPr>
      <w:r>
        <w:rPr>
          <w:rFonts w:hint="eastAsia" w:ascii="宋体" w:hAnsi="宋体" w:cs="宋体"/>
          <w:color w:val="auto"/>
          <w:szCs w:val="21"/>
          <w:highlight w:val="none"/>
        </w:rPr>
        <w:t>12.4 工程进度款支付</w:t>
      </w:r>
    </w:p>
    <w:p w14:paraId="6E71380F">
      <w:pPr>
        <w:spacing w:line="360" w:lineRule="auto"/>
        <w:ind w:firstLine="420" w:firstLineChars="200"/>
        <w:jc w:val="left"/>
        <w:rPr>
          <w:rFonts w:ascii="宋体" w:hAnsi="宋体" w:cs="宋体"/>
          <w:color w:val="auto"/>
          <w:szCs w:val="21"/>
          <w:highlight w:val="none"/>
        </w:rPr>
      </w:pPr>
      <w:bookmarkStart w:id="1307" w:name="_Toc300935006"/>
      <w:bookmarkStart w:id="1308" w:name="_Toc297123556"/>
      <w:bookmarkStart w:id="1309" w:name="_Toc296891251"/>
      <w:bookmarkStart w:id="1310" w:name="_Toc292559921"/>
      <w:bookmarkStart w:id="1311" w:name="_Toc296944550"/>
      <w:bookmarkStart w:id="1312" w:name="_Toc296347210"/>
      <w:bookmarkStart w:id="1313" w:name="_Toc296503211"/>
      <w:bookmarkStart w:id="1314" w:name="_Toc296346712"/>
      <w:bookmarkStart w:id="1315" w:name="_Toc303539163"/>
      <w:bookmarkStart w:id="1316" w:name="_Toc292559416"/>
      <w:bookmarkStart w:id="1317" w:name="_Toc297216215"/>
      <w:bookmarkStart w:id="1318" w:name="_Toc296891039"/>
      <w:bookmarkStart w:id="1319" w:name="_Toc297048397"/>
      <w:bookmarkStart w:id="1320" w:name="_Toc297120511"/>
      <w:r>
        <w:rPr>
          <w:rFonts w:hint="eastAsia" w:ascii="宋体" w:hAnsi="宋体" w:cs="宋体"/>
          <w:color w:val="auto"/>
          <w:szCs w:val="21"/>
          <w:highlight w:val="none"/>
        </w:rPr>
        <w:t>12.4.1 付款周期</w:t>
      </w:r>
    </w:p>
    <w:p w14:paraId="1631F3C1">
      <w:pPr>
        <w:keepNext w:val="0"/>
        <w:keepLines w:val="0"/>
        <w:widowControl/>
        <w:suppressLineNumbers w:val="0"/>
        <w:ind w:firstLine="562" w:firstLineChars="200"/>
        <w:jc w:val="left"/>
        <w:rPr>
          <w:rFonts w:hint="eastAsia" w:ascii="方正仿宋_GBK" w:hAnsi="方正仿宋_GBK" w:eastAsia="方正仿宋_GBK" w:cs="方正仿宋_GBK"/>
          <w:b/>
          <w:bCs/>
          <w:color w:val="auto"/>
          <w:sz w:val="28"/>
          <w:szCs w:val="28"/>
          <w:highlight w:val="none"/>
          <w:lang w:val="en-US" w:eastAsia="zh-CN"/>
        </w:rPr>
      </w:pPr>
      <w:bookmarkStart w:id="1321" w:name="OLE_LINK68"/>
      <w:bookmarkStart w:id="1322" w:name="OLE_LINK69"/>
      <w:r>
        <w:rPr>
          <w:rFonts w:hint="eastAsia" w:ascii="方正仿宋_GBK" w:hAnsi="方正仿宋_GBK" w:eastAsia="方正仿宋_GBK" w:cs="方正仿宋_GBK"/>
          <w:b/>
          <w:bCs/>
          <w:color w:val="auto"/>
          <w:sz w:val="28"/>
          <w:szCs w:val="28"/>
          <w:highlight w:val="none"/>
          <w:lang w:val="en-US" w:eastAsia="zh-CN"/>
        </w:rPr>
        <w:t>本工程预付款为合同金额的100%，由中标人办理招商银行账户，招商银行出具与预付款等额的担保函，预付款全额转入招商银行账户，工程完工验收且审计合格后按照程序结算至审定金额的100%，中标人另外支付3%作为质保金，在缺陷责任期2年满后并扣除维修金无息退还。</w:t>
      </w:r>
    </w:p>
    <w:p w14:paraId="60F5535F">
      <w:pPr>
        <w:spacing w:line="560" w:lineRule="exact"/>
        <w:ind w:firstLine="420" w:firstLineChars="200"/>
        <w:jc w:val="left"/>
        <w:rPr>
          <w:rFonts w:hint="default" w:ascii="Times New Roman" w:hAnsi="Times New Roman" w:eastAsia="宋体" w:cs="Times New Roman"/>
          <w:color w:val="auto"/>
          <w:sz w:val="21"/>
          <w:szCs w:val="21"/>
          <w:highlight w:val="none"/>
          <w:lang w:val="en-US" w:eastAsia="zh-CN"/>
        </w:rPr>
      </w:pPr>
    </w:p>
    <w:p w14:paraId="44133C21">
      <w:pPr>
        <w:spacing w:line="480" w:lineRule="exact"/>
        <w:ind w:firstLine="420" w:firstLineChars="200"/>
        <w:jc w:val="left"/>
        <w:rPr>
          <w:rFonts w:ascii="Times New Roman" w:hAnsi="Times New Roman" w:cs="Times New Roman"/>
          <w:color w:val="auto"/>
          <w:sz w:val="21"/>
          <w:szCs w:val="21"/>
          <w:highlight w:val="none"/>
        </w:rPr>
      </w:pPr>
      <w:r>
        <w:rPr>
          <w:rFonts w:hint="eastAsia" w:ascii="Times New Roman" w:hAnsi="Times New Roman" w:cs="Times New Roman"/>
          <w:color w:val="auto"/>
          <w:sz w:val="21"/>
          <w:szCs w:val="21"/>
          <w:highlight w:val="none"/>
        </w:rPr>
        <w:t>承包人在每次付款前须向发包人提供本次付款对应金额的增值税发票（代扣代缴税款按法律法规执行），否则发包人有权拒绝支付工程款并不承担违约责任。</w:t>
      </w:r>
    </w:p>
    <w:bookmarkEnd w:id="1321"/>
    <w:bookmarkEnd w:id="1322"/>
    <w:p w14:paraId="1D093E13">
      <w:pPr>
        <w:spacing w:line="480" w:lineRule="exact"/>
        <w:ind w:firstLine="420" w:firstLineChars="200"/>
        <w:jc w:val="left"/>
        <w:rPr>
          <w:rFonts w:ascii="宋体" w:hAnsi="宋体" w:cs="宋体"/>
          <w:color w:val="auto"/>
          <w:szCs w:val="21"/>
          <w:highlight w:val="none"/>
        </w:rPr>
      </w:pPr>
      <w:bookmarkStart w:id="1323" w:name="OLE_LINK70"/>
      <w:bookmarkStart w:id="1324" w:name="OLE_LINK71"/>
      <w:r>
        <w:rPr>
          <w:rFonts w:hint="eastAsia" w:ascii="宋体" w:hAnsi="宋体" w:cs="宋体"/>
          <w:color w:val="auto"/>
          <w:szCs w:val="21"/>
          <w:highlight w:val="none"/>
        </w:rPr>
        <w:t>12.4.2 进度付款申请单的编制</w:t>
      </w:r>
    </w:p>
    <w:p w14:paraId="64D487D1">
      <w:pPr>
        <w:spacing w:line="480" w:lineRule="exact"/>
        <w:ind w:firstLine="420" w:firstLineChars="200"/>
        <w:jc w:val="left"/>
        <w:rPr>
          <w:rFonts w:ascii="宋体" w:hAnsi="宋体" w:cs="宋体"/>
          <w:color w:val="auto"/>
          <w:szCs w:val="21"/>
          <w:highlight w:val="none"/>
          <w:u w:val="single"/>
        </w:rPr>
      </w:pPr>
      <w:r>
        <w:rPr>
          <w:rFonts w:hint="eastAsia" w:ascii="宋体" w:hAnsi="宋体" w:cs="宋体"/>
          <w:color w:val="auto"/>
          <w:szCs w:val="21"/>
          <w:highlight w:val="none"/>
        </w:rPr>
        <w:t>关于进度付款申请单编制的约定：</w:t>
      </w:r>
      <w:r>
        <w:rPr>
          <w:rFonts w:hint="eastAsia" w:ascii="宋体" w:hAnsi="宋体" w:cs="宋体"/>
          <w:color w:val="auto"/>
          <w:szCs w:val="21"/>
          <w:highlight w:val="none"/>
          <w:u w:val="single"/>
        </w:rPr>
        <w:t xml:space="preserve">  按发包方要求</w:t>
      </w:r>
      <w:r>
        <w:rPr>
          <w:rFonts w:hint="eastAsia" w:ascii="宋体" w:hAnsi="宋体" w:cs="宋体"/>
          <w:color w:val="auto"/>
          <w:szCs w:val="21"/>
          <w:highlight w:val="none"/>
        </w:rPr>
        <w:t>。</w:t>
      </w:r>
    </w:p>
    <w:p w14:paraId="59038FEC">
      <w:pPr>
        <w:spacing w:line="480" w:lineRule="exact"/>
        <w:ind w:firstLine="420" w:firstLineChars="200"/>
        <w:jc w:val="left"/>
        <w:rPr>
          <w:rFonts w:ascii="宋体" w:hAnsi="宋体" w:cs="宋体"/>
          <w:color w:val="auto"/>
          <w:szCs w:val="21"/>
          <w:highlight w:val="none"/>
        </w:rPr>
      </w:pPr>
      <w:r>
        <w:rPr>
          <w:rFonts w:hint="eastAsia" w:ascii="宋体" w:hAnsi="宋体" w:cs="宋体"/>
          <w:color w:val="auto"/>
          <w:szCs w:val="21"/>
          <w:highlight w:val="none"/>
        </w:rPr>
        <w:t>1</w:t>
      </w:r>
      <w:bookmarkEnd w:id="1307"/>
      <w:bookmarkEnd w:id="1308"/>
      <w:bookmarkEnd w:id="1309"/>
      <w:bookmarkEnd w:id="1310"/>
      <w:bookmarkEnd w:id="1311"/>
      <w:bookmarkEnd w:id="1312"/>
      <w:bookmarkEnd w:id="1313"/>
      <w:bookmarkEnd w:id="1314"/>
      <w:bookmarkEnd w:id="1315"/>
      <w:bookmarkEnd w:id="1316"/>
      <w:bookmarkEnd w:id="1317"/>
      <w:bookmarkEnd w:id="1318"/>
      <w:bookmarkEnd w:id="1319"/>
      <w:bookmarkEnd w:id="1320"/>
      <w:r>
        <w:rPr>
          <w:rFonts w:hint="eastAsia" w:ascii="宋体" w:hAnsi="宋体" w:cs="宋体"/>
          <w:color w:val="auto"/>
          <w:szCs w:val="21"/>
          <w:highlight w:val="none"/>
        </w:rPr>
        <w:t>2.4.3 进度付款申请单的提交</w:t>
      </w:r>
    </w:p>
    <w:p w14:paraId="3A197A7F">
      <w:pPr>
        <w:spacing w:line="480" w:lineRule="exact"/>
        <w:ind w:firstLine="420" w:firstLineChars="200"/>
        <w:jc w:val="left"/>
        <w:rPr>
          <w:rFonts w:ascii="宋体" w:hAnsi="宋体" w:cs="宋体"/>
          <w:color w:val="auto"/>
          <w:szCs w:val="21"/>
          <w:highlight w:val="none"/>
        </w:rPr>
      </w:pPr>
      <w:r>
        <w:rPr>
          <w:rFonts w:hint="eastAsia" w:ascii="宋体" w:hAnsi="宋体" w:cs="宋体"/>
          <w:color w:val="auto"/>
          <w:szCs w:val="21"/>
          <w:highlight w:val="none"/>
        </w:rPr>
        <w:t>（1）单价合同进度付款申请单提交的约定：</w:t>
      </w:r>
      <w:r>
        <w:rPr>
          <w:rFonts w:hint="eastAsia" w:ascii="宋体" w:hAnsi="宋体" w:cs="宋体"/>
          <w:color w:val="auto"/>
          <w:szCs w:val="21"/>
          <w:highlight w:val="none"/>
          <w:u w:val="single"/>
        </w:rPr>
        <w:t>按发包方要求</w:t>
      </w:r>
      <w:r>
        <w:rPr>
          <w:rFonts w:hint="eastAsia" w:ascii="宋体" w:hAnsi="宋体" w:cs="宋体"/>
          <w:color w:val="auto"/>
          <w:szCs w:val="21"/>
          <w:highlight w:val="none"/>
        </w:rPr>
        <w:t>。</w:t>
      </w:r>
    </w:p>
    <w:p w14:paraId="0DC009FA">
      <w:pPr>
        <w:spacing w:line="480" w:lineRule="exact"/>
        <w:ind w:firstLine="420" w:firstLineChars="200"/>
        <w:jc w:val="left"/>
        <w:rPr>
          <w:rFonts w:ascii="宋体" w:hAnsi="宋体" w:cs="宋体"/>
          <w:color w:val="auto"/>
          <w:szCs w:val="21"/>
          <w:highlight w:val="none"/>
        </w:rPr>
      </w:pPr>
      <w:r>
        <w:rPr>
          <w:rFonts w:hint="eastAsia" w:ascii="宋体" w:hAnsi="宋体" w:cs="宋体"/>
          <w:color w:val="auto"/>
          <w:szCs w:val="21"/>
          <w:highlight w:val="none"/>
        </w:rPr>
        <w:t>12.4.4 进度款审核和支付</w:t>
      </w:r>
    </w:p>
    <w:p w14:paraId="409B8842">
      <w:pPr>
        <w:spacing w:line="480" w:lineRule="exact"/>
        <w:ind w:firstLine="420" w:firstLineChars="200"/>
        <w:jc w:val="left"/>
        <w:rPr>
          <w:rFonts w:ascii="宋体" w:hAnsi="宋体" w:cs="宋体"/>
          <w:color w:val="auto"/>
          <w:szCs w:val="21"/>
          <w:highlight w:val="none"/>
          <w:u w:val="single"/>
        </w:rPr>
      </w:pPr>
      <w:r>
        <w:rPr>
          <w:rFonts w:hint="eastAsia" w:ascii="宋体" w:hAnsi="宋体" w:cs="宋体"/>
          <w:color w:val="auto"/>
          <w:szCs w:val="21"/>
          <w:highlight w:val="none"/>
        </w:rPr>
        <w:t>（1）监理人审查并报送发包人的期限：</w:t>
      </w:r>
      <w:r>
        <w:rPr>
          <w:rFonts w:hint="eastAsia" w:ascii="宋体" w:hAnsi="宋体" w:cs="宋体"/>
          <w:color w:val="auto"/>
          <w:szCs w:val="21"/>
          <w:highlight w:val="none"/>
          <w:u w:val="single"/>
        </w:rPr>
        <w:t xml:space="preserve">  7日内</w:t>
      </w:r>
      <w:r>
        <w:rPr>
          <w:rFonts w:hint="eastAsia" w:ascii="宋体" w:hAnsi="宋体" w:cs="宋体"/>
          <w:color w:val="auto"/>
          <w:szCs w:val="21"/>
          <w:highlight w:val="none"/>
        </w:rPr>
        <w:t>。</w:t>
      </w:r>
    </w:p>
    <w:p w14:paraId="3EEF6EFA">
      <w:pPr>
        <w:spacing w:line="480" w:lineRule="exact"/>
        <w:ind w:firstLine="420" w:firstLineChars="200"/>
        <w:jc w:val="left"/>
        <w:rPr>
          <w:rFonts w:ascii="宋体" w:hAnsi="宋体" w:cs="宋体"/>
          <w:color w:val="auto"/>
          <w:szCs w:val="21"/>
          <w:highlight w:val="none"/>
          <w:u w:val="single"/>
        </w:rPr>
      </w:pPr>
      <w:r>
        <w:rPr>
          <w:rFonts w:hint="eastAsia" w:ascii="宋体" w:hAnsi="宋体" w:cs="宋体"/>
          <w:color w:val="auto"/>
          <w:szCs w:val="21"/>
          <w:highlight w:val="none"/>
        </w:rPr>
        <w:t>发包人完成审批并签发进度款支付证书的期限：</w:t>
      </w:r>
      <w:r>
        <w:rPr>
          <w:rFonts w:hint="eastAsia" w:ascii="宋体" w:hAnsi="宋体" w:cs="宋体"/>
          <w:color w:val="auto"/>
          <w:szCs w:val="21"/>
          <w:highlight w:val="none"/>
          <w:u w:val="single"/>
        </w:rPr>
        <w:t>7日内</w:t>
      </w:r>
      <w:r>
        <w:rPr>
          <w:rFonts w:hint="eastAsia" w:ascii="宋体" w:hAnsi="宋体" w:cs="宋体"/>
          <w:color w:val="auto"/>
          <w:szCs w:val="21"/>
          <w:highlight w:val="none"/>
        </w:rPr>
        <w:t>。</w:t>
      </w:r>
    </w:p>
    <w:p w14:paraId="4CBC80E6">
      <w:pPr>
        <w:spacing w:line="480" w:lineRule="exact"/>
        <w:ind w:firstLine="420" w:firstLineChars="200"/>
        <w:jc w:val="left"/>
        <w:rPr>
          <w:rFonts w:ascii="宋体" w:hAnsi="宋体" w:cs="宋体"/>
          <w:color w:val="auto"/>
          <w:szCs w:val="21"/>
          <w:highlight w:val="none"/>
        </w:rPr>
      </w:pPr>
      <w:r>
        <w:rPr>
          <w:rFonts w:hint="eastAsia" w:ascii="宋体" w:hAnsi="宋体" w:cs="宋体"/>
          <w:color w:val="auto"/>
          <w:szCs w:val="21"/>
          <w:highlight w:val="none"/>
        </w:rPr>
        <w:t>（2）发包人支付进度款的期限：</w:t>
      </w:r>
      <w:r>
        <w:rPr>
          <w:rFonts w:hint="eastAsia" w:ascii="宋体" w:hAnsi="宋体" w:cs="宋体"/>
          <w:color w:val="auto"/>
          <w:szCs w:val="21"/>
          <w:highlight w:val="none"/>
          <w:u w:val="single"/>
          <w:lang w:val="en-US" w:eastAsia="zh-CN"/>
        </w:rPr>
        <w:t>30</w:t>
      </w:r>
      <w:r>
        <w:rPr>
          <w:rFonts w:hint="eastAsia" w:ascii="宋体" w:hAnsi="宋体" w:cs="宋体"/>
          <w:color w:val="auto"/>
          <w:szCs w:val="21"/>
          <w:highlight w:val="none"/>
          <w:u w:val="single"/>
        </w:rPr>
        <w:t>日内</w:t>
      </w:r>
      <w:r>
        <w:rPr>
          <w:rFonts w:hint="eastAsia" w:ascii="宋体" w:hAnsi="宋体" w:cs="宋体"/>
          <w:color w:val="auto"/>
          <w:szCs w:val="21"/>
          <w:highlight w:val="none"/>
        </w:rPr>
        <w:t>。</w:t>
      </w:r>
    </w:p>
    <w:p w14:paraId="7C16F961">
      <w:pPr>
        <w:spacing w:line="480" w:lineRule="exact"/>
        <w:ind w:firstLine="525" w:firstLineChars="250"/>
        <w:jc w:val="left"/>
        <w:rPr>
          <w:rFonts w:ascii="宋体" w:hAnsi="宋体" w:cs="宋体"/>
          <w:color w:val="auto"/>
          <w:szCs w:val="21"/>
          <w:highlight w:val="none"/>
          <w:u w:val="single"/>
        </w:rPr>
      </w:pPr>
      <w:r>
        <w:rPr>
          <w:rFonts w:hint="eastAsia" w:ascii="宋体" w:hAnsi="宋体" w:cs="宋体"/>
          <w:color w:val="auto"/>
          <w:szCs w:val="21"/>
          <w:highlight w:val="none"/>
        </w:rPr>
        <w:t>发包人逾期支付进度款的违约金的计算方式：</w:t>
      </w:r>
      <w:r>
        <w:rPr>
          <w:rFonts w:hint="eastAsia" w:ascii="宋体" w:hAnsi="宋体" w:cs="宋体"/>
          <w:color w:val="auto"/>
          <w:szCs w:val="21"/>
          <w:highlight w:val="none"/>
          <w:u w:val="single"/>
          <w:lang w:val="en-US" w:eastAsia="zh-CN"/>
        </w:rPr>
        <w:t xml:space="preserve">/ </w:t>
      </w:r>
      <w:r>
        <w:rPr>
          <w:rFonts w:hint="eastAsia" w:ascii="宋体" w:hAnsi="宋体" w:cs="宋体"/>
          <w:color w:val="auto"/>
          <w:szCs w:val="21"/>
          <w:highlight w:val="none"/>
        </w:rPr>
        <w:t>。</w:t>
      </w:r>
    </w:p>
    <w:p w14:paraId="49113FE0">
      <w:pPr>
        <w:spacing w:line="480" w:lineRule="exact"/>
        <w:ind w:firstLine="525" w:firstLineChars="250"/>
        <w:jc w:val="left"/>
        <w:rPr>
          <w:rFonts w:ascii="宋体" w:hAnsi="宋体" w:cs="宋体"/>
          <w:color w:val="auto"/>
          <w:szCs w:val="21"/>
          <w:highlight w:val="none"/>
        </w:rPr>
      </w:pPr>
      <w:r>
        <w:rPr>
          <w:rFonts w:hint="eastAsia" w:ascii="宋体" w:hAnsi="宋体" w:cs="宋体"/>
          <w:color w:val="auto"/>
          <w:szCs w:val="21"/>
          <w:highlight w:val="none"/>
        </w:rPr>
        <w:t>12.4.6 支付分解表的编制</w:t>
      </w:r>
    </w:p>
    <w:p w14:paraId="66B7B759">
      <w:pPr>
        <w:spacing w:line="480" w:lineRule="exact"/>
        <w:ind w:firstLine="420" w:firstLineChars="200"/>
        <w:jc w:val="left"/>
        <w:rPr>
          <w:rFonts w:ascii="宋体" w:hAnsi="宋体" w:cs="宋体"/>
          <w:color w:val="auto"/>
          <w:szCs w:val="21"/>
          <w:highlight w:val="none"/>
          <w:u w:val="single"/>
        </w:rPr>
      </w:pPr>
      <w:r>
        <w:rPr>
          <w:rFonts w:hint="eastAsia" w:ascii="宋体" w:hAnsi="宋体" w:cs="宋体"/>
          <w:color w:val="auto"/>
          <w:szCs w:val="21"/>
          <w:highlight w:val="none"/>
        </w:rPr>
        <w:t>2、总价合同支付分解表的编制与审批：</w:t>
      </w:r>
      <w:r>
        <w:rPr>
          <w:rFonts w:hint="eastAsia" w:ascii="宋体" w:hAnsi="宋体" w:cs="宋体"/>
          <w:color w:val="auto"/>
          <w:szCs w:val="21"/>
          <w:highlight w:val="none"/>
          <w:u w:val="single"/>
        </w:rPr>
        <w:t xml:space="preserve">                  </w:t>
      </w:r>
      <w:r>
        <w:rPr>
          <w:rFonts w:hint="eastAsia" w:ascii="宋体" w:hAnsi="宋体" w:cs="宋体"/>
          <w:color w:val="auto"/>
          <w:szCs w:val="21"/>
          <w:highlight w:val="none"/>
        </w:rPr>
        <w:t>。</w:t>
      </w:r>
    </w:p>
    <w:p w14:paraId="455F50E0">
      <w:pPr>
        <w:spacing w:line="480" w:lineRule="exact"/>
        <w:ind w:firstLine="420" w:firstLineChars="200"/>
        <w:jc w:val="left"/>
        <w:rPr>
          <w:rFonts w:ascii="宋体" w:hAnsi="宋体" w:cs="宋体"/>
          <w:color w:val="auto"/>
          <w:szCs w:val="21"/>
          <w:highlight w:val="none"/>
          <w:u w:val="single"/>
        </w:rPr>
      </w:pPr>
      <w:r>
        <w:rPr>
          <w:rFonts w:hint="eastAsia" w:ascii="宋体" w:hAnsi="宋体" w:cs="宋体"/>
          <w:color w:val="auto"/>
          <w:szCs w:val="21"/>
          <w:highlight w:val="none"/>
        </w:rPr>
        <w:t>3、单价合同的总价项目支付分解表的编制与审批：</w:t>
      </w:r>
      <w:r>
        <w:rPr>
          <w:rFonts w:hint="eastAsia" w:ascii="宋体" w:hAnsi="宋体" w:cs="宋体"/>
          <w:color w:val="auto"/>
          <w:szCs w:val="21"/>
          <w:highlight w:val="none"/>
          <w:u w:val="single"/>
        </w:rPr>
        <w:t xml:space="preserve">                        </w:t>
      </w:r>
      <w:r>
        <w:rPr>
          <w:rFonts w:hint="eastAsia" w:ascii="宋体" w:hAnsi="宋体" w:cs="宋体"/>
          <w:color w:val="auto"/>
          <w:szCs w:val="21"/>
          <w:highlight w:val="none"/>
        </w:rPr>
        <w:t>。</w:t>
      </w:r>
    </w:p>
    <w:bookmarkEnd w:id="1141"/>
    <w:bookmarkEnd w:id="1323"/>
    <w:bookmarkEnd w:id="1324"/>
    <w:p w14:paraId="69E84618">
      <w:pPr>
        <w:pStyle w:val="6"/>
        <w:spacing w:line="480" w:lineRule="exact"/>
        <w:jc w:val="left"/>
        <w:rPr>
          <w:rFonts w:ascii="宋体" w:hAnsi="宋体" w:cs="宋体"/>
          <w:b/>
          <w:color w:val="auto"/>
          <w:szCs w:val="21"/>
          <w:highlight w:val="none"/>
        </w:rPr>
      </w:pPr>
      <w:bookmarkStart w:id="1325" w:name="_Toc351203645"/>
      <w:bookmarkStart w:id="1326" w:name="_Toc296346720"/>
      <w:bookmarkStart w:id="1327" w:name="_Toc297123564"/>
      <w:bookmarkStart w:id="1328" w:name="_Toc312678053"/>
      <w:bookmarkStart w:id="1329" w:name="_Toc297216223"/>
      <w:bookmarkStart w:id="1330" w:name="_Toc296891047"/>
      <w:bookmarkStart w:id="1331" w:name="_Toc296891259"/>
      <w:bookmarkStart w:id="1332" w:name="_Toc303539172"/>
      <w:bookmarkStart w:id="1333" w:name="_Toc296944558"/>
      <w:bookmarkStart w:id="1334" w:name="_Toc297120519"/>
      <w:bookmarkStart w:id="1335" w:name="_Toc296347218"/>
      <w:bookmarkStart w:id="1336" w:name="_Toc304295593"/>
      <w:bookmarkStart w:id="1337" w:name="_Toc292559929"/>
      <w:bookmarkStart w:id="1338" w:name="_Toc297048405"/>
      <w:bookmarkStart w:id="1339" w:name="_Toc296503219"/>
      <w:bookmarkStart w:id="1340" w:name="_Toc292559424"/>
      <w:bookmarkStart w:id="1341" w:name="_Toc300935015"/>
      <w:r>
        <w:rPr>
          <w:rFonts w:hint="eastAsia" w:ascii="宋体" w:hAnsi="宋体" w:cs="宋体"/>
          <w:b/>
          <w:color w:val="auto"/>
          <w:szCs w:val="21"/>
          <w:highlight w:val="none"/>
        </w:rPr>
        <w:t>13. 验收和工程试车</w:t>
      </w:r>
      <w:bookmarkEnd w:id="1325"/>
    </w:p>
    <w:bookmarkEnd w:id="1326"/>
    <w:bookmarkEnd w:id="1327"/>
    <w:bookmarkEnd w:id="1328"/>
    <w:bookmarkEnd w:id="1329"/>
    <w:bookmarkEnd w:id="1330"/>
    <w:bookmarkEnd w:id="1331"/>
    <w:bookmarkEnd w:id="1332"/>
    <w:bookmarkEnd w:id="1333"/>
    <w:bookmarkEnd w:id="1334"/>
    <w:bookmarkEnd w:id="1335"/>
    <w:bookmarkEnd w:id="1336"/>
    <w:bookmarkEnd w:id="1337"/>
    <w:bookmarkEnd w:id="1338"/>
    <w:bookmarkEnd w:id="1339"/>
    <w:bookmarkEnd w:id="1340"/>
    <w:bookmarkEnd w:id="1341"/>
    <w:p w14:paraId="4207ABCA">
      <w:pPr>
        <w:spacing w:line="480" w:lineRule="exact"/>
        <w:ind w:firstLine="420" w:firstLineChars="200"/>
        <w:rPr>
          <w:rFonts w:ascii="宋体" w:hAnsi="宋体" w:cs="宋体"/>
          <w:color w:val="auto"/>
          <w:szCs w:val="21"/>
          <w:highlight w:val="none"/>
        </w:rPr>
      </w:pPr>
      <w:r>
        <w:rPr>
          <w:rFonts w:hint="eastAsia" w:ascii="宋体" w:hAnsi="宋体" w:cs="宋体"/>
          <w:color w:val="auto"/>
          <w:szCs w:val="21"/>
          <w:highlight w:val="none"/>
        </w:rPr>
        <w:t>13.1 分部分项工程验收</w:t>
      </w:r>
    </w:p>
    <w:p w14:paraId="08EDBD21">
      <w:pPr>
        <w:spacing w:line="480" w:lineRule="exact"/>
        <w:ind w:firstLine="420" w:firstLineChars="200"/>
        <w:jc w:val="left"/>
        <w:rPr>
          <w:rFonts w:ascii="宋体" w:hAnsi="宋体" w:cs="宋体"/>
          <w:color w:val="auto"/>
          <w:szCs w:val="21"/>
          <w:highlight w:val="none"/>
        </w:rPr>
      </w:pPr>
      <w:r>
        <w:rPr>
          <w:rFonts w:hint="eastAsia" w:ascii="宋体" w:hAnsi="宋体" w:cs="宋体"/>
          <w:color w:val="auto"/>
          <w:szCs w:val="21"/>
          <w:highlight w:val="none"/>
        </w:rPr>
        <w:t>13.1.2监理人不能按时进行验收时，应提前</w:t>
      </w:r>
      <w:r>
        <w:rPr>
          <w:rFonts w:hint="eastAsia" w:ascii="宋体" w:hAnsi="宋体" w:cs="宋体"/>
          <w:color w:val="auto"/>
          <w:szCs w:val="21"/>
          <w:highlight w:val="none"/>
          <w:u w:val="single"/>
        </w:rPr>
        <w:t xml:space="preserve"> 24  </w:t>
      </w:r>
      <w:r>
        <w:rPr>
          <w:rFonts w:hint="eastAsia" w:ascii="宋体" w:hAnsi="宋体" w:cs="宋体"/>
          <w:color w:val="auto"/>
          <w:szCs w:val="21"/>
          <w:highlight w:val="none"/>
        </w:rPr>
        <w:t>小时提交书面延期要求。</w:t>
      </w:r>
    </w:p>
    <w:p w14:paraId="273BE773">
      <w:pPr>
        <w:spacing w:line="480" w:lineRule="exact"/>
        <w:ind w:firstLine="420" w:firstLineChars="200"/>
        <w:jc w:val="left"/>
        <w:rPr>
          <w:rFonts w:ascii="宋体" w:hAnsi="宋体" w:cs="宋体"/>
          <w:b/>
          <w:color w:val="auto"/>
          <w:szCs w:val="21"/>
          <w:highlight w:val="none"/>
        </w:rPr>
      </w:pPr>
      <w:r>
        <w:rPr>
          <w:rFonts w:hint="eastAsia" w:ascii="宋体" w:hAnsi="宋体" w:cs="宋体"/>
          <w:color w:val="auto"/>
          <w:szCs w:val="21"/>
          <w:highlight w:val="none"/>
        </w:rPr>
        <w:t>关于延期最长不得超过：</w:t>
      </w:r>
      <w:r>
        <w:rPr>
          <w:rFonts w:hint="eastAsia" w:ascii="宋体" w:hAnsi="宋体" w:cs="宋体"/>
          <w:color w:val="auto"/>
          <w:szCs w:val="21"/>
          <w:highlight w:val="none"/>
          <w:u w:val="single"/>
        </w:rPr>
        <w:t xml:space="preserve"> 48  </w:t>
      </w:r>
      <w:r>
        <w:rPr>
          <w:rFonts w:hint="eastAsia" w:ascii="宋体" w:hAnsi="宋体" w:cs="宋体"/>
          <w:color w:val="auto"/>
          <w:szCs w:val="21"/>
          <w:highlight w:val="none"/>
        </w:rPr>
        <w:t>小时。</w:t>
      </w:r>
    </w:p>
    <w:p w14:paraId="0553A47B">
      <w:pPr>
        <w:spacing w:line="480" w:lineRule="exact"/>
        <w:ind w:firstLine="420" w:firstLineChars="200"/>
        <w:rPr>
          <w:rFonts w:ascii="宋体" w:hAnsi="宋体" w:cs="宋体"/>
          <w:color w:val="auto"/>
          <w:szCs w:val="21"/>
          <w:highlight w:val="none"/>
        </w:rPr>
      </w:pPr>
      <w:bookmarkStart w:id="1342" w:name="_Toc296891051"/>
      <w:bookmarkStart w:id="1343" w:name="_Toc296347222"/>
      <w:bookmarkStart w:id="1344" w:name="_Toc304295596"/>
      <w:bookmarkStart w:id="1345" w:name="_Toc296503223"/>
      <w:bookmarkStart w:id="1346" w:name="_Toc297120523"/>
      <w:bookmarkStart w:id="1347" w:name="_Toc297123565"/>
      <w:bookmarkStart w:id="1348" w:name="_Toc297048409"/>
      <w:bookmarkStart w:id="1349" w:name="_Toc297216224"/>
      <w:bookmarkStart w:id="1350" w:name="_Toc303539173"/>
      <w:bookmarkStart w:id="1351" w:name="_Toc296944562"/>
      <w:bookmarkStart w:id="1352" w:name="_Toc296891263"/>
      <w:bookmarkStart w:id="1353" w:name="_Toc300935016"/>
      <w:bookmarkStart w:id="1354" w:name="_Toc312678056"/>
      <w:bookmarkStart w:id="1355" w:name="_Toc292559428"/>
      <w:bookmarkStart w:id="1356" w:name="_Toc296346724"/>
      <w:bookmarkStart w:id="1357" w:name="_Toc292559933"/>
      <w:bookmarkStart w:id="1358" w:name="_Toc267251471"/>
      <w:bookmarkStart w:id="1359" w:name="_Toc267251475"/>
      <w:bookmarkStart w:id="1360" w:name="_Toc267251476"/>
      <w:bookmarkStart w:id="1361" w:name="_Toc267251472"/>
      <w:bookmarkStart w:id="1362" w:name="_Toc267251474"/>
      <w:bookmarkStart w:id="1363" w:name="_Toc267251473"/>
      <w:bookmarkStart w:id="1364" w:name="_Toc267251470"/>
      <w:r>
        <w:rPr>
          <w:rFonts w:hint="eastAsia" w:ascii="宋体" w:hAnsi="宋体" w:cs="宋体"/>
          <w:color w:val="auto"/>
          <w:szCs w:val="21"/>
          <w:highlight w:val="none"/>
        </w:rPr>
        <w:t>13.2 竣工验收</w:t>
      </w:r>
    </w:p>
    <w:bookmarkEnd w:id="1342"/>
    <w:bookmarkEnd w:id="1343"/>
    <w:bookmarkEnd w:id="1344"/>
    <w:bookmarkEnd w:id="1345"/>
    <w:bookmarkEnd w:id="1346"/>
    <w:bookmarkEnd w:id="1347"/>
    <w:bookmarkEnd w:id="1348"/>
    <w:bookmarkEnd w:id="1349"/>
    <w:bookmarkEnd w:id="1350"/>
    <w:bookmarkEnd w:id="1351"/>
    <w:bookmarkEnd w:id="1352"/>
    <w:bookmarkEnd w:id="1353"/>
    <w:bookmarkEnd w:id="1354"/>
    <w:bookmarkEnd w:id="1355"/>
    <w:bookmarkEnd w:id="1356"/>
    <w:bookmarkEnd w:id="1357"/>
    <w:p w14:paraId="24313C80">
      <w:pPr>
        <w:spacing w:line="480" w:lineRule="exact"/>
        <w:ind w:firstLine="420" w:firstLineChars="200"/>
        <w:jc w:val="left"/>
        <w:rPr>
          <w:rFonts w:ascii="宋体" w:hAnsi="宋体" w:cs="宋体"/>
          <w:color w:val="auto"/>
          <w:szCs w:val="21"/>
          <w:highlight w:val="none"/>
        </w:rPr>
      </w:pPr>
      <w:bookmarkStart w:id="1365" w:name="_Toc280868704"/>
      <w:bookmarkStart w:id="1366" w:name="_Toc280868705"/>
      <w:bookmarkStart w:id="1367" w:name="_Toc280868706"/>
      <w:bookmarkStart w:id="1368" w:name="_Toc280868707"/>
      <w:bookmarkStart w:id="1369" w:name="_Toc280868708"/>
      <w:bookmarkStart w:id="1370" w:name="_Toc280868709"/>
      <w:r>
        <w:rPr>
          <w:rFonts w:hint="eastAsia" w:ascii="宋体" w:hAnsi="宋体" w:cs="宋体"/>
          <w:color w:val="auto"/>
          <w:szCs w:val="21"/>
          <w:highlight w:val="none"/>
        </w:rPr>
        <w:t>13.2.2竣工验收程序</w:t>
      </w:r>
    </w:p>
    <w:bookmarkEnd w:id="1365"/>
    <w:p w14:paraId="7CB76A8E">
      <w:pPr>
        <w:spacing w:line="480" w:lineRule="exact"/>
        <w:ind w:firstLine="420" w:firstLineChars="200"/>
        <w:rPr>
          <w:rFonts w:ascii="宋体" w:hAnsi="宋体" w:cs="宋体"/>
          <w:color w:val="auto"/>
          <w:kern w:val="0"/>
          <w:szCs w:val="21"/>
          <w:highlight w:val="none"/>
          <w:u w:val="single"/>
        </w:rPr>
      </w:pPr>
      <w:r>
        <w:rPr>
          <w:rFonts w:hint="eastAsia" w:ascii="宋体" w:hAnsi="宋体" w:cs="宋体"/>
          <w:color w:val="auto"/>
          <w:kern w:val="0"/>
          <w:szCs w:val="21"/>
          <w:highlight w:val="none"/>
        </w:rPr>
        <w:t>关于竣工验收程序的约定：</w:t>
      </w:r>
      <w:r>
        <w:rPr>
          <w:rFonts w:hint="eastAsia" w:ascii="宋体" w:hAnsi="宋体" w:cs="宋体"/>
          <w:color w:val="auto"/>
          <w:kern w:val="0"/>
          <w:szCs w:val="21"/>
          <w:highlight w:val="none"/>
          <w:u w:val="single"/>
        </w:rPr>
        <w:t>1）工程完工后28天内，承包人按国家工程竣工验收有关规定达到验收条件并向发包人提供竣工图以及竣工资料四套（含电子光盘一张）及竣工验收报告。延后一天罚款500元/天。</w:t>
      </w:r>
    </w:p>
    <w:p w14:paraId="0C845EBA">
      <w:pPr>
        <w:spacing w:line="480" w:lineRule="exact"/>
        <w:ind w:firstLine="420" w:firstLineChars="200"/>
        <w:rPr>
          <w:rFonts w:ascii="宋体" w:hAnsi="宋体" w:cs="宋体"/>
          <w:color w:val="auto"/>
          <w:kern w:val="0"/>
          <w:szCs w:val="21"/>
          <w:highlight w:val="none"/>
          <w:u w:val="single"/>
        </w:rPr>
      </w:pPr>
      <w:r>
        <w:rPr>
          <w:rFonts w:hint="eastAsia" w:ascii="宋体" w:hAnsi="宋体" w:cs="宋体"/>
          <w:color w:val="auto"/>
          <w:kern w:val="0"/>
          <w:szCs w:val="21"/>
          <w:highlight w:val="none"/>
          <w:u w:val="single"/>
        </w:rPr>
        <w:t>2）发包人收到竣工验收报告后28天内组织有关单位验收，并在验收后14天内给予认可和提出修改意见。承包人按要求修改，并承担由自身原因造成修改的费用。</w:t>
      </w:r>
    </w:p>
    <w:p w14:paraId="79790380">
      <w:pPr>
        <w:spacing w:line="480" w:lineRule="exact"/>
        <w:ind w:firstLine="420" w:firstLineChars="200"/>
        <w:rPr>
          <w:rFonts w:ascii="宋体" w:hAnsi="宋体" w:cs="宋体"/>
          <w:color w:val="auto"/>
          <w:kern w:val="0"/>
          <w:szCs w:val="21"/>
          <w:highlight w:val="none"/>
          <w:u w:val="single"/>
        </w:rPr>
      </w:pPr>
      <w:r>
        <w:rPr>
          <w:rFonts w:hint="eastAsia" w:ascii="宋体" w:hAnsi="宋体" w:cs="宋体"/>
          <w:color w:val="auto"/>
          <w:kern w:val="0"/>
          <w:szCs w:val="21"/>
          <w:highlight w:val="none"/>
          <w:u w:val="single"/>
        </w:rPr>
        <w:t>3） 发包人收到承包人送交的竣工验收报告后28天内不组织验收，或验收后14天内不提出修改意见，视为竣工验收报告已被认可。</w:t>
      </w:r>
    </w:p>
    <w:p w14:paraId="0080B7CD">
      <w:pPr>
        <w:spacing w:line="480" w:lineRule="exact"/>
        <w:ind w:firstLine="420" w:firstLineChars="200"/>
        <w:rPr>
          <w:rFonts w:ascii="宋体" w:hAnsi="宋体" w:cs="宋体"/>
          <w:color w:val="auto"/>
          <w:kern w:val="0"/>
          <w:szCs w:val="21"/>
          <w:highlight w:val="none"/>
          <w:u w:val="single"/>
        </w:rPr>
      </w:pPr>
      <w:r>
        <w:rPr>
          <w:rFonts w:hint="eastAsia" w:ascii="宋体" w:hAnsi="宋体" w:cs="宋体"/>
          <w:color w:val="auto"/>
          <w:kern w:val="0"/>
          <w:szCs w:val="21"/>
          <w:highlight w:val="none"/>
          <w:u w:val="single"/>
        </w:rPr>
        <w:t>4） 工程竣工验收通过，承包人递交竣工报告的日期为实际竣工日期；工程按发包人要求修改后通过竣工验收的，实际竣工日期为承包人修改后提请发包人验收的日期。</w:t>
      </w:r>
    </w:p>
    <w:p w14:paraId="64ADA062">
      <w:pPr>
        <w:spacing w:line="480" w:lineRule="exact"/>
        <w:ind w:firstLine="420" w:firstLineChars="200"/>
        <w:rPr>
          <w:rFonts w:ascii="宋体" w:hAnsi="宋体" w:cs="宋体"/>
          <w:color w:val="auto"/>
          <w:kern w:val="0"/>
          <w:szCs w:val="21"/>
          <w:highlight w:val="none"/>
          <w:u w:val="single"/>
        </w:rPr>
      </w:pPr>
      <w:r>
        <w:rPr>
          <w:rFonts w:hint="eastAsia" w:ascii="宋体" w:hAnsi="宋体" w:cs="宋体"/>
          <w:color w:val="auto"/>
          <w:kern w:val="0"/>
          <w:szCs w:val="21"/>
          <w:highlight w:val="none"/>
          <w:u w:val="single"/>
        </w:rPr>
        <w:t>5） 发包人收到承包人竣工验收报告后28天内不组织验收，从第29天起承担工程保管及一切意外责任。</w:t>
      </w:r>
    </w:p>
    <w:p w14:paraId="3593C880">
      <w:pPr>
        <w:spacing w:line="480" w:lineRule="exact"/>
        <w:ind w:firstLine="420" w:firstLineChars="200"/>
        <w:rPr>
          <w:rFonts w:ascii="宋体" w:hAnsi="宋体" w:cs="宋体"/>
          <w:color w:val="auto"/>
          <w:kern w:val="0"/>
          <w:szCs w:val="21"/>
          <w:highlight w:val="none"/>
          <w:u w:val="single"/>
        </w:rPr>
      </w:pPr>
      <w:r>
        <w:rPr>
          <w:rFonts w:hint="eastAsia" w:ascii="宋体" w:hAnsi="宋体" w:cs="宋体"/>
          <w:color w:val="auto"/>
          <w:kern w:val="0"/>
          <w:szCs w:val="21"/>
          <w:highlight w:val="none"/>
          <w:u w:val="single"/>
        </w:rPr>
        <w:t>6） 中间交工工期的范围和竣工时间： 按通用条款和现行施工验收规范执行  。</w:t>
      </w:r>
    </w:p>
    <w:p w14:paraId="2CB4C783">
      <w:pPr>
        <w:spacing w:line="480" w:lineRule="exact"/>
        <w:ind w:firstLine="420" w:firstLineChars="200"/>
        <w:rPr>
          <w:rFonts w:ascii="宋体" w:hAnsi="宋体" w:cs="宋体"/>
          <w:color w:val="auto"/>
          <w:kern w:val="0"/>
          <w:szCs w:val="21"/>
          <w:highlight w:val="none"/>
          <w:u w:val="single"/>
        </w:rPr>
      </w:pPr>
      <w:r>
        <w:rPr>
          <w:rFonts w:hint="eastAsia" w:ascii="宋体" w:hAnsi="宋体" w:cs="宋体"/>
          <w:color w:val="auto"/>
          <w:kern w:val="0"/>
          <w:szCs w:val="21"/>
          <w:highlight w:val="none"/>
          <w:u w:val="single"/>
        </w:rPr>
        <w:t>7）工程未经竣工验收或竣工验收未通过的，发包人可以使用。发包人使用时，由此发生的质量问题及其他问题，在保修期内仍由承包人承担责任。</w:t>
      </w:r>
    </w:p>
    <w:p w14:paraId="4CF0FF0E">
      <w:pPr>
        <w:spacing w:line="480" w:lineRule="exact"/>
        <w:ind w:firstLine="420" w:firstLineChars="200"/>
        <w:jc w:val="left"/>
        <w:rPr>
          <w:rFonts w:ascii="宋体" w:hAnsi="宋体" w:cs="宋体"/>
          <w:color w:val="auto"/>
          <w:szCs w:val="21"/>
          <w:highlight w:val="none"/>
        </w:rPr>
      </w:pPr>
      <w:r>
        <w:rPr>
          <w:rFonts w:hint="eastAsia" w:ascii="宋体" w:hAnsi="宋体" w:cs="宋体"/>
          <w:color w:val="auto"/>
          <w:kern w:val="0"/>
          <w:szCs w:val="21"/>
          <w:highlight w:val="none"/>
        </w:rPr>
        <w:t>发包人不按照本项约定组织竣工验收、颁发工程接收证书的违约金的计算方法：</w:t>
      </w:r>
      <w:r>
        <w:rPr>
          <w:rFonts w:hint="eastAsia" w:ascii="宋体" w:hAnsi="宋体" w:cs="宋体"/>
          <w:color w:val="auto"/>
          <w:szCs w:val="21"/>
          <w:highlight w:val="none"/>
          <w:u w:val="single"/>
        </w:rPr>
        <w:t>按通用条款执行</w:t>
      </w:r>
      <w:r>
        <w:rPr>
          <w:rFonts w:hint="eastAsia" w:ascii="宋体" w:hAnsi="宋体" w:cs="宋体"/>
          <w:color w:val="auto"/>
          <w:szCs w:val="21"/>
          <w:highlight w:val="none"/>
        </w:rPr>
        <w:t>。</w:t>
      </w:r>
    </w:p>
    <w:bookmarkEnd w:id="1366"/>
    <w:p w14:paraId="181C88A8">
      <w:pPr>
        <w:spacing w:line="480" w:lineRule="exact"/>
        <w:ind w:firstLine="420" w:firstLineChars="200"/>
        <w:jc w:val="left"/>
        <w:rPr>
          <w:rFonts w:ascii="宋体" w:hAnsi="宋体" w:cs="宋体"/>
          <w:color w:val="auto"/>
          <w:szCs w:val="21"/>
          <w:highlight w:val="none"/>
        </w:rPr>
      </w:pPr>
      <w:r>
        <w:rPr>
          <w:rFonts w:hint="eastAsia" w:ascii="宋体" w:hAnsi="宋体" w:cs="宋体"/>
          <w:color w:val="auto"/>
          <w:szCs w:val="21"/>
          <w:highlight w:val="none"/>
        </w:rPr>
        <w:t>13.2.5移交、接收全部与部分工程</w:t>
      </w:r>
    </w:p>
    <w:bookmarkEnd w:id="1367"/>
    <w:p w14:paraId="4D23A669">
      <w:pPr>
        <w:spacing w:line="480" w:lineRule="exact"/>
        <w:ind w:firstLine="420" w:firstLineChars="200"/>
        <w:jc w:val="left"/>
        <w:rPr>
          <w:rFonts w:ascii="宋体" w:hAnsi="宋体" w:cs="宋体"/>
          <w:color w:val="auto"/>
          <w:kern w:val="0"/>
          <w:szCs w:val="21"/>
          <w:highlight w:val="none"/>
        </w:rPr>
      </w:pPr>
      <w:r>
        <w:rPr>
          <w:rFonts w:hint="eastAsia" w:ascii="宋体" w:hAnsi="宋体" w:cs="宋体"/>
          <w:color w:val="auto"/>
          <w:kern w:val="0"/>
          <w:szCs w:val="21"/>
          <w:highlight w:val="none"/>
        </w:rPr>
        <w:t>承包人向发包人移交工程的期限：</w:t>
      </w:r>
      <w:r>
        <w:rPr>
          <w:rFonts w:hint="eastAsia" w:ascii="宋体" w:hAnsi="宋体" w:cs="宋体"/>
          <w:color w:val="auto"/>
          <w:szCs w:val="21"/>
          <w:highlight w:val="none"/>
          <w:u w:val="single"/>
        </w:rPr>
        <w:t>按合同协议条款执行</w:t>
      </w:r>
      <w:r>
        <w:rPr>
          <w:rFonts w:hint="eastAsia" w:ascii="宋体" w:hAnsi="宋体" w:cs="宋体"/>
          <w:color w:val="auto"/>
          <w:szCs w:val="21"/>
          <w:highlight w:val="none"/>
        </w:rPr>
        <w:t>。</w:t>
      </w:r>
    </w:p>
    <w:p w14:paraId="6D7B0D4E">
      <w:pPr>
        <w:spacing w:line="480" w:lineRule="exact"/>
        <w:ind w:firstLine="420" w:firstLineChars="200"/>
        <w:jc w:val="left"/>
        <w:rPr>
          <w:rFonts w:ascii="宋体" w:hAnsi="宋体" w:cs="宋体"/>
          <w:color w:val="auto"/>
          <w:szCs w:val="21"/>
          <w:highlight w:val="none"/>
          <w:u w:val="single"/>
        </w:rPr>
      </w:pPr>
      <w:r>
        <w:rPr>
          <w:rFonts w:hint="eastAsia" w:ascii="宋体" w:hAnsi="宋体" w:cs="宋体"/>
          <w:color w:val="auto"/>
          <w:kern w:val="0"/>
          <w:szCs w:val="21"/>
          <w:highlight w:val="none"/>
        </w:rPr>
        <w:t>发包人未按本合同约定接收全部或部分工程的，违约金的计算方法为：</w:t>
      </w:r>
      <w:r>
        <w:rPr>
          <w:rFonts w:hint="eastAsia" w:ascii="宋体" w:hAnsi="宋体" w:cs="宋体"/>
          <w:color w:val="auto"/>
          <w:szCs w:val="21"/>
          <w:highlight w:val="none"/>
          <w:u w:val="single"/>
        </w:rPr>
        <w:t xml:space="preserve">   ／  </w:t>
      </w:r>
      <w:r>
        <w:rPr>
          <w:rFonts w:hint="eastAsia" w:ascii="宋体" w:hAnsi="宋体" w:cs="宋体"/>
          <w:color w:val="auto"/>
          <w:szCs w:val="21"/>
          <w:highlight w:val="none"/>
        </w:rPr>
        <w:t>。</w:t>
      </w:r>
    </w:p>
    <w:bookmarkEnd w:id="1368"/>
    <w:p w14:paraId="18670B47">
      <w:pPr>
        <w:spacing w:line="480" w:lineRule="exact"/>
        <w:ind w:firstLine="420" w:firstLineChars="200"/>
        <w:jc w:val="left"/>
        <w:rPr>
          <w:rFonts w:ascii="宋体" w:hAnsi="宋体" w:cs="宋体"/>
          <w:color w:val="auto"/>
          <w:szCs w:val="21"/>
          <w:highlight w:val="none"/>
          <w:u w:val="single"/>
        </w:rPr>
      </w:pPr>
      <w:r>
        <w:rPr>
          <w:rFonts w:hint="eastAsia" w:ascii="宋体" w:hAnsi="宋体" w:cs="宋体"/>
          <w:color w:val="auto"/>
          <w:szCs w:val="21"/>
          <w:highlight w:val="none"/>
        </w:rPr>
        <w:t>承包人未按时移交工程的，违约金的计算方法为：</w:t>
      </w:r>
      <w:r>
        <w:rPr>
          <w:rFonts w:hint="eastAsia" w:ascii="宋体" w:hAnsi="宋体" w:cs="宋体"/>
          <w:bCs/>
          <w:color w:val="auto"/>
          <w:szCs w:val="21"/>
          <w:highlight w:val="none"/>
          <w:u w:val="single"/>
          <w:lang w:val="zh-CN"/>
        </w:rPr>
        <w:t>每延期移交一天交</w:t>
      </w:r>
      <w:r>
        <w:rPr>
          <w:rFonts w:hint="eastAsia" w:ascii="宋体" w:hAnsi="宋体" w:cs="宋体"/>
          <w:color w:val="auto"/>
          <w:szCs w:val="21"/>
          <w:highlight w:val="none"/>
          <w:u w:val="single"/>
        </w:rPr>
        <w:t>违约金 500元，累计不超过5万元</w:t>
      </w:r>
      <w:r>
        <w:rPr>
          <w:rFonts w:hint="eastAsia" w:ascii="宋体" w:hAnsi="宋体" w:cs="宋体"/>
          <w:color w:val="auto"/>
          <w:szCs w:val="21"/>
          <w:highlight w:val="none"/>
        </w:rPr>
        <w:t xml:space="preserve">。 </w:t>
      </w:r>
    </w:p>
    <w:p w14:paraId="375880C5">
      <w:pPr>
        <w:spacing w:line="480" w:lineRule="exact"/>
        <w:ind w:firstLine="420" w:firstLineChars="200"/>
        <w:rPr>
          <w:rFonts w:ascii="宋体" w:hAnsi="宋体" w:cs="宋体"/>
          <w:color w:val="auto"/>
          <w:szCs w:val="21"/>
          <w:highlight w:val="none"/>
        </w:rPr>
      </w:pPr>
      <w:r>
        <w:rPr>
          <w:rFonts w:hint="eastAsia" w:ascii="宋体" w:hAnsi="宋体" w:cs="宋体"/>
          <w:color w:val="auto"/>
          <w:szCs w:val="21"/>
          <w:highlight w:val="none"/>
        </w:rPr>
        <w:t>13.3 工程试车</w:t>
      </w:r>
    </w:p>
    <w:bookmarkEnd w:id="1369"/>
    <w:p w14:paraId="66225014">
      <w:pPr>
        <w:spacing w:line="480" w:lineRule="exact"/>
        <w:ind w:firstLine="420" w:firstLineChars="200"/>
        <w:rPr>
          <w:rFonts w:ascii="宋体" w:hAnsi="宋体" w:cs="宋体"/>
          <w:color w:val="auto"/>
          <w:szCs w:val="21"/>
          <w:highlight w:val="none"/>
        </w:rPr>
      </w:pPr>
      <w:r>
        <w:rPr>
          <w:rFonts w:hint="eastAsia" w:ascii="宋体" w:hAnsi="宋体" w:cs="宋体"/>
          <w:color w:val="auto"/>
          <w:szCs w:val="21"/>
          <w:highlight w:val="none"/>
        </w:rPr>
        <w:t>13.6 竣工退场</w:t>
      </w:r>
    </w:p>
    <w:p w14:paraId="6FB3B1B9">
      <w:pPr>
        <w:spacing w:line="480" w:lineRule="exact"/>
        <w:ind w:firstLine="420" w:firstLineChars="200"/>
        <w:jc w:val="left"/>
        <w:rPr>
          <w:rFonts w:ascii="宋体" w:hAnsi="宋体" w:cs="宋体"/>
          <w:color w:val="auto"/>
          <w:kern w:val="0"/>
          <w:szCs w:val="21"/>
          <w:highlight w:val="none"/>
        </w:rPr>
      </w:pPr>
      <w:r>
        <w:rPr>
          <w:rFonts w:hint="eastAsia" w:ascii="宋体" w:hAnsi="宋体" w:cs="宋体"/>
          <w:color w:val="auto"/>
          <w:kern w:val="0"/>
          <w:szCs w:val="21"/>
          <w:highlight w:val="none"/>
        </w:rPr>
        <w:t>13.6.1 竣工退场</w:t>
      </w:r>
    </w:p>
    <w:p w14:paraId="29E93445">
      <w:pPr>
        <w:spacing w:line="480" w:lineRule="exact"/>
        <w:jc w:val="left"/>
        <w:rPr>
          <w:rFonts w:ascii="宋体" w:hAnsi="宋体" w:cs="宋体"/>
          <w:color w:val="auto"/>
          <w:kern w:val="0"/>
          <w:szCs w:val="21"/>
          <w:highlight w:val="none"/>
        </w:rPr>
      </w:pPr>
      <w:r>
        <w:rPr>
          <w:rFonts w:hint="eastAsia" w:ascii="宋体" w:hAnsi="宋体" w:cs="宋体"/>
          <w:color w:val="auto"/>
          <w:kern w:val="0"/>
          <w:szCs w:val="21"/>
          <w:highlight w:val="none"/>
        </w:rPr>
        <w:t>承包人完成竣工退场的期限：</w:t>
      </w:r>
      <w:r>
        <w:rPr>
          <w:rFonts w:hint="eastAsia" w:ascii="宋体" w:hAnsi="宋体" w:cs="宋体"/>
          <w:color w:val="auto"/>
          <w:szCs w:val="21"/>
          <w:highlight w:val="none"/>
          <w:u w:val="single"/>
        </w:rPr>
        <w:t xml:space="preserve">期限按合同协议条款执行并按通用条款13.6.1要求进行清理 </w:t>
      </w:r>
      <w:r>
        <w:rPr>
          <w:rFonts w:hint="eastAsia" w:ascii="宋体" w:hAnsi="宋体" w:cs="宋体"/>
          <w:color w:val="auto"/>
          <w:kern w:val="0"/>
          <w:szCs w:val="21"/>
          <w:highlight w:val="none"/>
        </w:rPr>
        <w:t>。</w:t>
      </w:r>
    </w:p>
    <w:p w14:paraId="7FC53BD6">
      <w:pPr>
        <w:pStyle w:val="6"/>
        <w:spacing w:line="480" w:lineRule="exact"/>
        <w:jc w:val="left"/>
        <w:rPr>
          <w:rFonts w:ascii="宋体" w:hAnsi="宋体" w:cs="宋体"/>
          <w:b/>
          <w:color w:val="auto"/>
          <w:szCs w:val="21"/>
          <w:highlight w:val="none"/>
        </w:rPr>
      </w:pPr>
      <w:bookmarkStart w:id="1371" w:name="_Toc351203646"/>
      <w:r>
        <w:rPr>
          <w:rFonts w:hint="eastAsia" w:ascii="宋体" w:hAnsi="宋体" w:cs="宋体"/>
          <w:b/>
          <w:color w:val="auto"/>
          <w:szCs w:val="21"/>
          <w:highlight w:val="none"/>
        </w:rPr>
        <w:t>14. 竣工结算</w:t>
      </w:r>
      <w:bookmarkEnd w:id="1371"/>
    </w:p>
    <w:p w14:paraId="1A901186">
      <w:pPr>
        <w:spacing w:line="480" w:lineRule="exact"/>
        <w:ind w:firstLine="420" w:firstLineChars="200"/>
        <w:rPr>
          <w:rFonts w:ascii="宋体" w:hAnsi="宋体" w:cs="宋体"/>
          <w:color w:val="auto"/>
          <w:szCs w:val="21"/>
          <w:highlight w:val="none"/>
        </w:rPr>
      </w:pPr>
      <w:r>
        <w:rPr>
          <w:rFonts w:hint="eastAsia" w:ascii="宋体" w:hAnsi="宋体" w:cs="宋体"/>
          <w:color w:val="auto"/>
          <w:szCs w:val="21"/>
          <w:highlight w:val="none"/>
        </w:rPr>
        <w:t>14.1 竣工付款申请</w:t>
      </w:r>
    </w:p>
    <w:p w14:paraId="3F488073">
      <w:pPr>
        <w:spacing w:line="480" w:lineRule="exact"/>
        <w:ind w:firstLine="728" w:firstLineChars="347"/>
        <w:rPr>
          <w:rFonts w:ascii="宋体" w:hAnsi="宋体" w:cs="宋体"/>
          <w:color w:val="auto"/>
          <w:kern w:val="0"/>
          <w:szCs w:val="21"/>
          <w:highlight w:val="none"/>
          <w:u w:val="single"/>
        </w:rPr>
      </w:pPr>
      <w:r>
        <w:rPr>
          <w:rFonts w:hint="eastAsia" w:ascii="宋体" w:hAnsi="宋体" w:cs="宋体"/>
          <w:color w:val="auto"/>
          <w:kern w:val="0"/>
          <w:szCs w:val="21"/>
          <w:highlight w:val="none"/>
          <w:u w:val="single"/>
        </w:rPr>
        <w:t>工程完工交验后28日内承包人应按规定编报五套完整的工程结算书报发包人审查，每延误一天对承包人处以违约金1000元，累计计算。承包方的结算资料一旦报出，发包方将不再接收承包方的任何补充结算资料，发包人在此基础上进行审核。在结算过程中，发包人对承包方结算书中报出的工程量、项、价格的合理性进行审核，对承包方漏报的项和量不予增加。</w:t>
      </w:r>
    </w:p>
    <w:p w14:paraId="2138DEBC">
      <w:pPr>
        <w:spacing w:line="480" w:lineRule="exact"/>
        <w:ind w:firstLine="420" w:firstLineChars="200"/>
        <w:jc w:val="left"/>
        <w:rPr>
          <w:rFonts w:ascii="宋体" w:hAnsi="宋体" w:cs="宋体"/>
          <w:color w:val="auto"/>
          <w:szCs w:val="21"/>
          <w:highlight w:val="none"/>
        </w:rPr>
      </w:pPr>
      <w:r>
        <w:rPr>
          <w:rFonts w:hint="eastAsia" w:ascii="宋体" w:hAnsi="宋体" w:cs="宋体"/>
          <w:color w:val="auto"/>
          <w:szCs w:val="21"/>
          <w:highlight w:val="none"/>
        </w:rPr>
        <w:t>承包人提交竣工付款申请单的期限：</w:t>
      </w:r>
      <w:r>
        <w:rPr>
          <w:rFonts w:hint="eastAsia" w:ascii="宋体" w:hAnsi="宋体" w:cs="宋体"/>
          <w:color w:val="auto"/>
          <w:szCs w:val="21"/>
          <w:highlight w:val="none"/>
          <w:u w:val="single"/>
        </w:rPr>
        <w:t>竣工验收14日内</w:t>
      </w:r>
      <w:r>
        <w:rPr>
          <w:rFonts w:hint="eastAsia" w:ascii="宋体" w:hAnsi="宋体" w:cs="宋体"/>
          <w:color w:val="auto"/>
          <w:szCs w:val="21"/>
          <w:highlight w:val="none"/>
        </w:rPr>
        <w:t>。</w:t>
      </w:r>
    </w:p>
    <w:p w14:paraId="79C6DEEB">
      <w:pPr>
        <w:spacing w:line="480" w:lineRule="exact"/>
        <w:ind w:firstLine="420" w:firstLineChars="200"/>
        <w:jc w:val="left"/>
        <w:rPr>
          <w:rFonts w:ascii="宋体" w:hAnsi="宋体" w:cs="宋体"/>
          <w:color w:val="auto"/>
          <w:szCs w:val="21"/>
          <w:highlight w:val="none"/>
          <w:u w:val="single"/>
        </w:rPr>
      </w:pPr>
      <w:r>
        <w:rPr>
          <w:rFonts w:hint="eastAsia" w:ascii="宋体" w:hAnsi="宋体" w:cs="宋体"/>
          <w:color w:val="auto"/>
          <w:szCs w:val="21"/>
          <w:highlight w:val="none"/>
        </w:rPr>
        <w:t>竣工付款申请单应包括的内容：</w:t>
      </w:r>
      <w:r>
        <w:rPr>
          <w:rFonts w:hint="eastAsia" w:ascii="宋体" w:hAnsi="宋体" w:cs="宋体"/>
          <w:color w:val="auto"/>
          <w:szCs w:val="21"/>
          <w:highlight w:val="none"/>
          <w:u w:val="single"/>
        </w:rPr>
        <w:t xml:space="preserve">   按通用条款14.1执行</w:t>
      </w:r>
      <w:r>
        <w:rPr>
          <w:rFonts w:hint="eastAsia" w:ascii="宋体" w:hAnsi="宋体" w:cs="宋体"/>
          <w:color w:val="auto"/>
          <w:szCs w:val="21"/>
          <w:highlight w:val="none"/>
        </w:rPr>
        <w:t>。</w:t>
      </w:r>
    </w:p>
    <w:p w14:paraId="0F877CE7">
      <w:pPr>
        <w:spacing w:line="480" w:lineRule="exact"/>
        <w:ind w:firstLine="420" w:firstLineChars="200"/>
        <w:rPr>
          <w:rFonts w:ascii="宋体" w:hAnsi="宋体" w:cs="宋体"/>
          <w:color w:val="auto"/>
          <w:szCs w:val="21"/>
          <w:highlight w:val="none"/>
        </w:rPr>
      </w:pPr>
      <w:r>
        <w:rPr>
          <w:rFonts w:hint="eastAsia" w:ascii="宋体" w:hAnsi="宋体" w:cs="宋体"/>
          <w:color w:val="auto"/>
          <w:szCs w:val="21"/>
          <w:highlight w:val="none"/>
        </w:rPr>
        <w:t>14.2 竣工结算审核</w:t>
      </w:r>
    </w:p>
    <w:p w14:paraId="2A517D24">
      <w:pPr>
        <w:spacing w:line="480" w:lineRule="exact"/>
        <w:ind w:firstLine="420" w:firstLineChars="200"/>
        <w:jc w:val="left"/>
        <w:rPr>
          <w:rFonts w:ascii="宋体" w:hAnsi="宋体" w:cs="宋体"/>
          <w:color w:val="auto"/>
          <w:szCs w:val="21"/>
          <w:highlight w:val="none"/>
        </w:rPr>
      </w:pPr>
      <w:r>
        <w:rPr>
          <w:rFonts w:hint="eastAsia" w:ascii="宋体" w:hAnsi="宋体" w:cs="宋体"/>
          <w:color w:val="auto"/>
          <w:szCs w:val="21"/>
          <w:highlight w:val="none"/>
        </w:rPr>
        <w:t>发包人审批竣工付款申请单的期限：</w:t>
      </w:r>
      <w:r>
        <w:rPr>
          <w:rFonts w:hint="eastAsia" w:ascii="宋体" w:hAnsi="宋体" w:cs="宋体"/>
          <w:color w:val="auto"/>
          <w:szCs w:val="21"/>
          <w:highlight w:val="none"/>
          <w:u w:val="single"/>
        </w:rPr>
        <w:t xml:space="preserve">  收到28日内</w:t>
      </w:r>
      <w:r>
        <w:rPr>
          <w:rFonts w:hint="eastAsia" w:ascii="宋体" w:hAnsi="宋体" w:cs="宋体"/>
          <w:color w:val="auto"/>
          <w:szCs w:val="21"/>
          <w:highlight w:val="none"/>
        </w:rPr>
        <w:t>。</w:t>
      </w:r>
    </w:p>
    <w:p w14:paraId="7CC0D252">
      <w:pPr>
        <w:spacing w:line="480" w:lineRule="exact"/>
        <w:ind w:firstLine="420" w:firstLineChars="200"/>
        <w:jc w:val="left"/>
        <w:rPr>
          <w:rFonts w:ascii="宋体" w:hAnsi="宋体" w:cs="宋体"/>
          <w:color w:val="auto"/>
          <w:szCs w:val="21"/>
          <w:highlight w:val="none"/>
        </w:rPr>
      </w:pPr>
      <w:r>
        <w:rPr>
          <w:rFonts w:hint="eastAsia" w:ascii="宋体" w:hAnsi="宋体" w:cs="宋体"/>
          <w:color w:val="auto"/>
          <w:szCs w:val="21"/>
          <w:highlight w:val="none"/>
        </w:rPr>
        <w:t>发包人完成竣工付款的期限：</w:t>
      </w:r>
      <w:r>
        <w:rPr>
          <w:rFonts w:hint="eastAsia" w:ascii="宋体" w:hAnsi="宋体" w:cs="宋体"/>
          <w:color w:val="auto"/>
          <w:szCs w:val="21"/>
          <w:highlight w:val="none"/>
          <w:u w:val="single"/>
        </w:rPr>
        <w:t>签发竣工付款证书14日内</w:t>
      </w:r>
      <w:r>
        <w:rPr>
          <w:rFonts w:hint="eastAsia" w:ascii="宋体" w:hAnsi="宋体" w:cs="宋体"/>
          <w:color w:val="auto"/>
          <w:szCs w:val="21"/>
          <w:highlight w:val="none"/>
        </w:rPr>
        <w:t>。</w:t>
      </w:r>
    </w:p>
    <w:p w14:paraId="711DB63D">
      <w:pPr>
        <w:spacing w:line="480" w:lineRule="exact"/>
        <w:ind w:firstLine="420" w:firstLineChars="200"/>
        <w:jc w:val="left"/>
        <w:rPr>
          <w:rFonts w:ascii="宋体" w:hAnsi="宋体" w:cs="宋体"/>
          <w:color w:val="auto"/>
          <w:szCs w:val="21"/>
          <w:highlight w:val="none"/>
          <w:u w:val="single"/>
        </w:rPr>
      </w:pPr>
      <w:r>
        <w:rPr>
          <w:rFonts w:hint="eastAsia" w:ascii="宋体" w:hAnsi="宋体" w:cs="宋体"/>
          <w:color w:val="auto"/>
          <w:szCs w:val="21"/>
          <w:highlight w:val="none"/>
        </w:rPr>
        <w:t>关于竣工付款证书异议部分复核的方式和程序：</w:t>
      </w:r>
      <w:r>
        <w:rPr>
          <w:rFonts w:hint="eastAsia" w:ascii="宋体" w:hAnsi="宋体" w:cs="宋体"/>
          <w:color w:val="auto"/>
          <w:szCs w:val="21"/>
          <w:highlight w:val="none"/>
          <w:u w:val="single"/>
        </w:rPr>
        <w:t>按通用条款14.2（3）执行</w:t>
      </w:r>
      <w:r>
        <w:rPr>
          <w:rFonts w:hint="eastAsia" w:ascii="宋体" w:hAnsi="宋体" w:cs="宋体"/>
          <w:color w:val="auto"/>
          <w:szCs w:val="21"/>
          <w:highlight w:val="none"/>
        </w:rPr>
        <w:t>。</w:t>
      </w:r>
    </w:p>
    <w:p w14:paraId="4EF6605D">
      <w:pPr>
        <w:spacing w:line="480" w:lineRule="exact"/>
        <w:ind w:firstLine="420" w:firstLineChars="200"/>
        <w:rPr>
          <w:rFonts w:ascii="宋体" w:hAnsi="宋体" w:cs="宋体"/>
          <w:color w:val="auto"/>
          <w:szCs w:val="21"/>
          <w:highlight w:val="none"/>
        </w:rPr>
      </w:pPr>
      <w:r>
        <w:rPr>
          <w:rFonts w:hint="eastAsia" w:ascii="宋体" w:hAnsi="宋体" w:cs="宋体"/>
          <w:color w:val="auto"/>
          <w:szCs w:val="21"/>
          <w:highlight w:val="none"/>
        </w:rPr>
        <w:t>14.4 最终结清</w:t>
      </w:r>
    </w:p>
    <w:p w14:paraId="158035F3">
      <w:pPr>
        <w:spacing w:line="480" w:lineRule="exact"/>
        <w:ind w:firstLine="420" w:firstLineChars="200"/>
        <w:jc w:val="left"/>
        <w:rPr>
          <w:rFonts w:ascii="宋体" w:hAnsi="宋体" w:cs="宋体"/>
          <w:color w:val="auto"/>
          <w:kern w:val="0"/>
          <w:szCs w:val="21"/>
          <w:highlight w:val="none"/>
        </w:rPr>
      </w:pPr>
      <w:r>
        <w:rPr>
          <w:rFonts w:hint="eastAsia" w:ascii="宋体" w:hAnsi="宋体" w:cs="宋体"/>
          <w:color w:val="auto"/>
          <w:kern w:val="0"/>
          <w:szCs w:val="21"/>
          <w:highlight w:val="none"/>
        </w:rPr>
        <w:t>14.4.1 最终结清申请单</w:t>
      </w:r>
    </w:p>
    <w:p w14:paraId="5837D872">
      <w:pPr>
        <w:spacing w:line="480" w:lineRule="exact"/>
        <w:ind w:firstLine="420" w:firstLineChars="200"/>
        <w:jc w:val="left"/>
        <w:rPr>
          <w:rFonts w:ascii="宋体" w:hAnsi="宋体" w:cs="宋体"/>
          <w:color w:val="auto"/>
          <w:kern w:val="0"/>
          <w:szCs w:val="21"/>
          <w:highlight w:val="none"/>
        </w:rPr>
      </w:pPr>
      <w:r>
        <w:rPr>
          <w:rFonts w:hint="eastAsia" w:ascii="宋体" w:hAnsi="宋体" w:cs="宋体"/>
          <w:color w:val="auto"/>
          <w:kern w:val="0"/>
          <w:szCs w:val="21"/>
          <w:highlight w:val="none"/>
        </w:rPr>
        <w:t>承包人提交最终结清申请单的份数：</w:t>
      </w:r>
      <w:r>
        <w:rPr>
          <w:rFonts w:hint="eastAsia" w:ascii="宋体" w:hAnsi="宋体" w:cs="宋体"/>
          <w:color w:val="auto"/>
          <w:szCs w:val="21"/>
          <w:highlight w:val="none"/>
          <w:u w:val="single"/>
        </w:rPr>
        <w:t xml:space="preserve">  五份</w:t>
      </w:r>
      <w:r>
        <w:rPr>
          <w:rFonts w:hint="eastAsia" w:ascii="宋体" w:hAnsi="宋体" w:cs="宋体"/>
          <w:color w:val="auto"/>
          <w:szCs w:val="21"/>
          <w:highlight w:val="none"/>
        </w:rPr>
        <w:t>。</w:t>
      </w:r>
    </w:p>
    <w:p w14:paraId="2458C674">
      <w:pPr>
        <w:spacing w:line="480" w:lineRule="exact"/>
        <w:ind w:firstLine="420" w:firstLineChars="200"/>
        <w:jc w:val="left"/>
        <w:rPr>
          <w:rFonts w:ascii="宋体" w:hAnsi="宋体" w:cs="宋体"/>
          <w:color w:val="auto"/>
          <w:szCs w:val="21"/>
          <w:highlight w:val="none"/>
        </w:rPr>
      </w:pPr>
      <w:r>
        <w:rPr>
          <w:rFonts w:hint="eastAsia" w:ascii="宋体" w:hAnsi="宋体" w:cs="宋体"/>
          <w:color w:val="auto"/>
          <w:kern w:val="0"/>
          <w:szCs w:val="21"/>
          <w:highlight w:val="none"/>
        </w:rPr>
        <w:t>承包人提交最终结算申请单的期限：</w:t>
      </w:r>
      <w:r>
        <w:rPr>
          <w:rFonts w:hint="eastAsia" w:ascii="宋体" w:hAnsi="宋体" w:cs="宋体"/>
          <w:color w:val="auto"/>
          <w:szCs w:val="21"/>
          <w:highlight w:val="none"/>
          <w:u w:val="single"/>
        </w:rPr>
        <w:t xml:space="preserve">缺陷责任期终止证书颁发7日内  </w:t>
      </w:r>
      <w:r>
        <w:rPr>
          <w:rFonts w:hint="eastAsia" w:ascii="宋体" w:hAnsi="宋体" w:cs="宋体"/>
          <w:color w:val="auto"/>
          <w:szCs w:val="21"/>
          <w:highlight w:val="none"/>
        </w:rPr>
        <w:t xml:space="preserve">。 </w:t>
      </w:r>
    </w:p>
    <w:p w14:paraId="64E995B1">
      <w:pPr>
        <w:spacing w:line="480" w:lineRule="exact"/>
        <w:ind w:firstLine="420" w:firstLineChars="200"/>
        <w:jc w:val="left"/>
        <w:rPr>
          <w:rFonts w:ascii="宋体" w:hAnsi="宋体" w:cs="宋体"/>
          <w:color w:val="auto"/>
          <w:szCs w:val="21"/>
          <w:highlight w:val="none"/>
        </w:rPr>
      </w:pPr>
      <w:r>
        <w:rPr>
          <w:rFonts w:hint="eastAsia" w:ascii="宋体" w:hAnsi="宋体" w:cs="宋体"/>
          <w:color w:val="auto"/>
          <w:szCs w:val="21"/>
          <w:highlight w:val="none"/>
        </w:rPr>
        <w:t>14.4.2 最终结清证书和支付</w:t>
      </w:r>
    </w:p>
    <w:p w14:paraId="63133237">
      <w:pPr>
        <w:spacing w:line="480" w:lineRule="exact"/>
        <w:ind w:firstLine="420" w:firstLineChars="200"/>
        <w:jc w:val="left"/>
        <w:rPr>
          <w:rFonts w:ascii="宋体" w:hAnsi="宋体" w:cs="宋体"/>
          <w:color w:val="auto"/>
          <w:szCs w:val="21"/>
          <w:highlight w:val="none"/>
        </w:rPr>
      </w:pPr>
      <w:r>
        <w:rPr>
          <w:rFonts w:hint="eastAsia" w:ascii="宋体" w:hAnsi="宋体" w:cs="宋体"/>
          <w:color w:val="auto"/>
          <w:szCs w:val="21"/>
          <w:highlight w:val="none"/>
        </w:rPr>
        <w:t>（1）发包人完成最终结清申请单的审批并颁发最终结清证书的期限：</w:t>
      </w:r>
      <w:r>
        <w:rPr>
          <w:rFonts w:hint="eastAsia" w:ascii="宋体" w:hAnsi="宋体" w:cs="宋体"/>
          <w:color w:val="auto"/>
          <w:szCs w:val="21"/>
          <w:highlight w:val="none"/>
          <w:u w:val="single"/>
        </w:rPr>
        <w:t>收到14日内</w:t>
      </w:r>
      <w:r>
        <w:rPr>
          <w:rFonts w:hint="eastAsia" w:ascii="宋体" w:hAnsi="宋体" w:cs="宋体"/>
          <w:color w:val="auto"/>
          <w:szCs w:val="21"/>
          <w:highlight w:val="none"/>
        </w:rPr>
        <w:t>。</w:t>
      </w:r>
    </w:p>
    <w:p w14:paraId="17DE0497">
      <w:pPr>
        <w:spacing w:line="480" w:lineRule="exact"/>
        <w:ind w:firstLine="420" w:firstLineChars="200"/>
        <w:jc w:val="left"/>
        <w:rPr>
          <w:rFonts w:ascii="宋体" w:hAnsi="宋体" w:cs="宋体"/>
          <w:color w:val="auto"/>
          <w:szCs w:val="21"/>
          <w:highlight w:val="none"/>
        </w:rPr>
      </w:pPr>
      <w:r>
        <w:rPr>
          <w:rFonts w:hint="eastAsia" w:ascii="宋体" w:hAnsi="宋体" w:cs="宋体"/>
          <w:color w:val="auto"/>
          <w:szCs w:val="21"/>
          <w:highlight w:val="none"/>
        </w:rPr>
        <w:t>（2）发包人完成支付的期限：</w:t>
      </w:r>
      <w:r>
        <w:rPr>
          <w:rFonts w:hint="eastAsia" w:ascii="宋体" w:hAnsi="宋体" w:cs="宋体"/>
          <w:color w:val="auto"/>
          <w:szCs w:val="21"/>
          <w:highlight w:val="none"/>
          <w:u w:val="single"/>
        </w:rPr>
        <w:t>颁发最终结清证书7天内</w:t>
      </w:r>
      <w:r>
        <w:rPr>
          <w:rFonts w:hint="eastAsia" w:ascii="宋体" w:hAnsi="宋体" w:cs="宋体"/>
          <w:color w:val="auto"/>
          <w:szCs w:val="21"/>
          <w:highlight w:val="none"/>
        </w:rPr>
        <w:t>。</w:t>
      </w:r>
    </w:p>
    <w:bookmarkEnd w:id="1358"/>
    <w:bookmarkEnd w:id="1359"/>
    <w:bookmarkEnd w:id="1360"/>
    <w:bookmarkEnd w:id="1361"/>
    <w:bookmarkEnd w:id="1362"/>
    <w:bookmarkEnd w:id="1363"/>
    <w:bookmarkEnd w:id="1364"/>
    <w:bookmarkEnd w:id="1370"/>
    <w:p w14:paraId="4B47288F">
      <w:pPr>
        <w:pStyle w:val="6"/>
        <w:spacing w:line="480" w:lineRule="exact"/>
        <w:jc w:val="left"/>
        <w:rPr>
          <w:rFonts w:ascii="宋体" w:hAnsi="宋体" w:cs="宋体"/>
          <w:b/>
          <w:color w:val="auto"/>
          <w:szCs w:val="21"/>
          <w:highlight w:val="none"/>
        </w:rPr>
      </w:pPr>
      <w:bookmarkStart w:id="1372" w:name="_Toc351203647"/>
      <w:bookmarkStart w:id="1373" w:name="_Toc267251483"/>
      <w:bookmarkStart w:id="1374" w:name="_Toc267251482"/>
      <w:bookmarkStart w:id="1375" w:name="_Toc267251484"/>
      <w:bookmarkStart w:id="1376" w:name="_Toc267251485"/>
      <w:bookmarkStart w:id="1377" w:name="_Toc267251486"/>
      <w:bookmarkStart w:id="1378" w:name="_Toc267251490"/>
      <w:bookmarkStart w:id="1379" w:name="_Toc267251488"/>
      <w:bookmarkStart w:id="1380" w:name="_Toc267251489"/>
      <w:bookmarkStart w:id="1381" w:name="_Toc267251503"/>
      <w:bookmarkStart w:id="1382" w:name="_Toc267251492"/>
      <w:bookmarkStart w:id="1383" w:name="_Toc267251493"/>
      <w:bookmarkStart w:id="1384" w:name="_Toc267251498"/>
      <w:bookmarkStart w:id="1385" w:name="_Toc267251502"/>
      <w:bookmarkStart w:id="1386" w:name="_Toc267251496"/>
      <w:bookmarkStart w:id="1387" w:name="_Toc267251495"/>
      <w:bookmarkStart w:id="1388" w:name="_Toc267251501"/>
      <w:bookmarkStart w:id="1389" w:name="_Toc267251499"/>
      <w:bookmarkStart w:id="1390" w:name="_Toc267251494"/>
      <w:bookmarkStart w:id="1391" w:name="_Toc267251497"/>
      <w:bookmarkStart w:id="1392" w:name="_Toc267251491"/>
      <w:bookmarkStart w:id="1393" w:name="_Toc267251504"/>
      <w:bookmarkStart w:id="1394" w:name="_Toc267251507"/>
      <w:bookmarkStart w:id="1395" w:name="_Toc267251506"/>
      <w:bookmarkStart w:id="1396" w:name="_Toc267251508"/>
      <w:bookmarkStart w:id="1397" w:name="_Toc267251509"/>
      <w:bookmarkStart w:id="1398" w:name="_Toc267251514"/>
      <w:bookmarkStart w:id="1399" w:name="_Toc267251515"/>
      <w:bookmarkStart w:id="1400" w:name="_Toc267251511"/>
      <w:bookmarkStart w:id="1401" w:name="_Toc267251513"/>
      <w:bookmarkStart w:id="1402" w:name="_Toc267251510"/>
      <w:r>
        <w:rPr>
          <w:rFonts w:hint="eastAsia" w:ascii="宋体" w:hAnsi="宋体" w:cs="宋体"/>
          <w:b/>
          <w:color w:val="auto"/>
          <w:szCs w:val="21"/>
          <w:highlight w:val="none"/>
        </w:rPr>
        <w:t>15. 缺陷责任期与保修</w:t>
      </w:r>
      <w:bookmarkEnd w:id="1372"/>
    </w:p>
    <w:p w14:paraId="30FFA169">
      <w:pPr>
        <w:spacing w:line="480" w:lineRule="exact"/>
        <w:ind w:firstLine="420" w:firstLineChars="200"/>
        <w:rPr>
          <w:rFonts w:ascii="宋体" w:hAnsi="宋体" w:cs="宋体"/>
          <w:color w:val="auto"/>
          <w:szCs w:val="21"/>
          <w:highlight w:val="none"/>
        </w:rPr>
      </w:pPr>
      <w:r>
        <w:rPr>
          <w:rFonts w:hint="eastAsia" w:ascii="宋体" w:hAnsi="宋体" w:cs="宋体"/>
          <w:color w:val="auto"/>
          <w:szCs w:val="21"/>
          <w:highlight w:val="none"/>
        </w:rPr>
        <w:t>15.2缺陷责任期</w:t>
      </w:r>
      <w:bookmarkEnd w:id="1373"/>
    </w:p>
    <w:p w14:paraId="110DA059">
      <w:pPr>
        <w:spacing w:line="480" w:lineRule="exact"/>
        <w:ind w:firstLine="420" w:firstLineChars="200"/>
        <w:jc w:val="left"/>
        <w:rPr>
          <w:rFonts w:ascii="宋体" w:hAnsi="宋体" w:cs="宋体"/>
          <w:color w:val="auto"/>
          <w:szCs w:val="21"/>
          <w:highlight w:val="none"/>
          <w:u w:val="single"/>
        </w:rPr>
      </w:pPr>
      <w:r>
        <w:rPr>
          <w:rFonts w:hint="eastAsia" w:ascii="宋体" w:hAnsi="宋体" w:cs="宋体"/>
          <w:color w:val="auto"/>
          <w:szCs w:val="21"/>
          <w:highlight w:val="none"/>
        </w:rPr>
        <w:t>缺陷责任期的具体期限：</w:t>
      </w:r>
      <w:r>
        <w:rPr>
          <w:rFonts w:hint="eastAsia" w:ascii="宋体" w:hAnsi="宋体" w:cs="宋体"/>
          <w:color w:val="auto"/>
          <w:szCs w:val="21"/>
          <w:highlight w:val="none"/>
          <w:u w:val="single"/>
        </w:rPr>
        <w:t>贰年（实际竣工日期起计算）</w:t>
      </w:r>
      <w:r>
        <w:rPr>
          <w:rFonts w:hint="eastAsia" w:ascii="宋体" w:hAnsi="宋体" w:cs="宋体"/>
          <w:color w:val="auto"/>
          <w:szCs w:val="21"/>
          <w:highlight w:val="none"/>
        </w:rPr>
        <w:t>。</w:t>
      </w:r>
    </w:p>
    <w:p w14:paraId="0448E76B">
      <w:pPr>
        <w:spacing w:line="480" w:lineRule="exact"/>
        <w:ind w:firstLine="420" w:firstLineChars="200"/>
        <w:rPr>
          <w:rFonts w:ascii="宋体" w:hAnsi="宋体" w:cs="宋体"/>
          <w:color w:val="auto"/>
          <w:szCs w:val="21"/>
          <w:highlight w:val="none"/>
        </w:rPr>
      </w:pPr>
      <w:r>
        <w:rPr>
          <w:rFonts w:hint="eastAsia" w:ascii="宋体" w:hAnsi="宋体" w:cs="宋体"/>
          <w:color w:val="auto"/>
          <w:szCs w:val="21"/>
          <w:highlight w:val="none"/>
        </w:rPr>
        <w:t>15.3 质量保证金</w:t>
      </w:r>
    </w:p>
    <w:p w14:paraId="0F1CB7BE">
      <w:pPr>
        <w:spacing w:line="480" w:lineRule="exact"/>
        <w:ind w:firstLine="420" w:firstLineChars="200"/>
        <w:jc w:val="left"/>
        <w:rPr>
          <w:rFonts w:ascii="宋体" w:hAnsi="宋体" w:cs="宋体"/>
          <w:color w:val="auto"/>
          <w:szCs w:val="21"/>
          <w:highlight w:val="none"/>
        </w:rPr>
      </w:pPr>
      <w:r>
        <w:rPr>
          <w:rFonts w:hint="eastAsia" w:ascii="宋体" w:hAnsi="宋体" w:cs="宋体"/>
          <w:color w:val="auto"/>
          <w:szCs w:val="21"/>
          <w:highlight w:val="none"/>
        </w:rPr>
        <w:t>关于是否扣留质量保证金的约定：</w:t>
      </w:r>
      <w:r>
        <w:rPr>
          <w:rFonts w:hint="eastAsia" w:ascii="宋体" w:hAnsi="宋体" w:cs="宋体"/>
          <w:color w:val="auto"/>
          <w:szCs w:val="21"/>
          <w:highlight w:val="none"/>
          <w:u w:val="single"/>
        </w:rPr>
        <w:t xml:space="preserve"> 是  </w:t>
      </w:r>
      <w:r>
        <w:rPr>
          <w:rFonts w:hint="eastAsia" w:ascii="宋体" w:hAnsi="宋体" w:cs="宋体"/>
          <w:color w:val="auto"/>
          <w:szCs w:val="21"/>
          <w:highlight w:val="none"/>
        </w:rPr>
        <w:t>。</w:t>
      </w:r>
    </w:p>
    <w:p w14:paraId="4003382A">
      <w:pPr>
        <w:spacing w:line="480" w:lineRule="exact"/>
        <w:ind w:firstLine="420" w:firstLineChars="200"/>
        <w:jc w:val="left"/>
        <w:rPr>
          <w:rFonts w:ascii="宋体" w:hAnsi="宋体" w:cs="宋体"/>
          <w:color w:val="auto"/>
          <w:szCs w:val="21"/>
          <w:highlight w:val="none"/>
        </w:rPr>
      </w:pPr>
      <w:r>
        <w:rPr>
          <w:rFonts w:hint="eastAsia" w:ascii="宋体" w:hAnsi="宋体" w:cs="宋体"/>
          <w:color w:val="auto"/>
          <w:szCs w:val="21"/>
          <w:highlight w:val="none"/>
        </w:rPr>
        <w:t xml:space="preserve">15.3.2 质量保证金的扣留 </w:t>
      </w:r>
    </w:p>
    <w:p w14:paraId="20EFC7E8">
      <w:pPr>
        <w:spacing w:line="480" w:lineRule="exact"/>
        <w:ind w:firstLine="420" w:firstLineChars="200"/>
        <w:jc w:val="left"/>
        <w:rPr>
          <w:rFonts w:ascii="宋体" w:hAnsi="宋体" w:cs="宋体"/>
          <w:color w:val="auto"/>
          <w:szCs w:val="21"/>
          <w:highlight w:val="none"/>
        </w:rPr>
      </w:pPr>
      <w:r>
        <w:rPr>
          <w:rFonts w:hint="eastAsia" w:ascii="宋体" w:hAnsi="宋体" w:cs="宋体"/>
          <w:color w:val="auto"/>
          <w:szCs w:val="21"/>
          <w:highlight w:val="none"/>
        </w:rPr>
        <w:t>质量保证金的扣留采取以下第</w:t>
      </w:r>
      <w:r>
        <w:rPr>
          <w:rFonts w:hint="eastAsia" w:ascii="宋体" w:hAnsi="宋体" w:cs="宋体"/>
          <w:color w:val="auto"/>
          <w:szCs w:val="21"/>
          <w:highlight w:val="none"/>
          <w:u w:val="single"/>
        </w:rPr>
        <w:t xml:space="preserve"> （2） </w:t>
      </w:r>
      <w:r>
        <w:rPr>
          <w:rFonts w:hint="eastAsia" w:ascii="宋体" w:hAnsi="宋体" w:cs="宋体"/>
          <w:color w:val="auto"/>
          <w:szCs w:val="21"/>
          <w:highlight w:val="none"/>
        </w:rPr>
        <w:t>种方式：</w:t>
      </w:r>
    </w:p>
    <w:p w14:paraId="11003B61">
      <w:pPr>
        <w:autoSpaceDE w:val="0"/>
        <w:autoSpaceDN w:val="0"/>
        <w:adjustRightInd w:val="0"/>
        <w:spacing w:line="480" w:lineRule="exact"/>
        <w:ind w:firstLine="420" w:firstLineChars="200"/>
        <w:jc w:val="left"/>
        <w:rPr>
          <w:rFonts w:ascii="宋体" w:hAnsi="宋体" w:cs="宋体"/>
          <w:color w:val="auto"/>
          <w:kern w:val="0"/>
          <w:szCs w:val="21"/>
          <w:highlight w:val="none"/>
        </w:rPr>
      </w:pPr>
      <w:r>
        <w:rPr>
          <w:rFonts w:hint="eastAsia" w:ascii="宋体" w:hAnsi="宋体" w:cs="宋体"/>
          <w:color w:val="auto"/>
          <w:kern w:val="0"/>
          <w:szCs w:val="21"/>
          <w:highlight w:val="none"/>
        </w:rPr>
        <w:t>（1）在支付工程进度款时逐次扣留，在此情形下，质量保证金的计算基数不包括预付款的支付、扣回以及价格调整的金额；</w:t>
      </w:r>
    </w:p>
    <w:p w14:paraId="3AB7D4B2">
      <w:pPr>
        <w:autoSpaceDE w:val="0"/>
        <w:autoSpaceDN w:val="0"/>
        <w:adjustRightInd w:val="0"/>
        <w:spacing w:line="480" w:lineRule="exact"/>
        <w:ind w:firstLine="420" w:firstLineChars="200"/>
        <w:jc w:val="left"/>
        <w:rPr>
          <w:rFonts w:ascii="宋体" w:hAnsi="宋体" w:cs="宋体"/>
          <w:color w:val="auto"/>
          <w:kern w:val="0"/>
          <w:szCs w:val="21"/>
          <w:highlight w:val="none"/>
        </w:rPr>
      </w:pPr>
      <w:r>
        <w:rPr>
          <w:rFonts w:hint="eastAsia" w:ascii="宋体" w:hAnsi="宋体" w:cs="宋体"/>
          <w:color w:val="auto"/>
          <w:kern w:val="0"/>
          <w:szCs w:val="21"/>
          <w:highlight w:val="none"/>
        </w:rPr>
        <w:t>（2）工程竣工结算时一次性扣留质量保证金；</w:t>
      </w:r>
    </w:p>
    <w:p w14:paraId="72D292C6">
      <w:pPr>
        <w:autoSpaceDE w:val="0"/>
        <w:autoSpaceDN w:val="0"/>
        <w:adjustRightInd w:val="0"/>
        <w:spacing w:line="480" w:lineRule="exact"/>
        <w:ind w:firstLine="420" w:firstLineChars="200"/>
        <w:jc w:val="left"/>
        <w:rPr>
          <w:rFonts w:ascii="宋体" w:hAnsi="宋体" w:cs="宋体"/>
          <w:color w:val="auto"/>
          <w:kern w:val="0"/>
          <w:szCs w:val="21"/>
          <w:highlight w:val="none"/>
        </w:rPr>
      </w:pPr>
      <w:r>
        <w:rPr>
          <w:rFonts w:hint="eastAsia" w:ascii="宋体" w:hAnsi="宋体" w:cs="宋体"/>
          <w:color w:val="auto"/>
          <w:kern w:val="0"/>
          <w:szCs w:val="21"/>
          <w:highlight w:val="none"/>
        </w:rPr>
        <w:t>（3）其他扣留方式:</w:t>
      </w:r>
      <w:r>
        <w:rPr>
          <w:rFonts w:hint="eastAsia" w:ascii="宋体" w:hAnsi="宋体" w:cs="宋体"/>
          <w:color w:val="auto"/>
          <w:kern w:val="0"/>
          <w:szCs w:val="21"/>
          <w:highlight w:val="none"/>
          <w:u w:val="single"/>
        </w:rPr>
        <w:t xml:space="preserve">   ／   </w:t>
      </w:r>
      <w:r>
        <w:rPr>
          <w:rFonts w:hint="eastAsia" w:ascii="宋体" w:hAnsi="宋体" w:cs="宋体"/>
          <w:color w:val="auto"/>
          <w:kern w:val="0"/>
          <w:szCs w:val="21"/>
          <w:highlight w:val="none"/>
        </w:rPr>
        <w:t>。</w:t>
      </w:r>
    </w:p>
    <w:p w14:paraId="41FF5014">
      <w:pPr>
        <w:spacing w:line="480" w:lineRule="exact"/>
        <w:ind w:firstLine="420" w:firstLineChars="200"/>
        <w:jc w:val="left"/>
        <w:rPr>
          <w:rFonts w:ascii="宋体" w:hAnsi="宋体" w:cs="宋体"/>
          <w:color w:val="auto"/>
          <w:szCs w:val="21"/>
          <w:highlight w:val="none"/>
        </w:rPr>
      </w:pPr>
      <w:r>
        <w:rPr>
          <w:rFonts w:hint="eastAsia" w:ascii="宋体" w:hAnsi="宋体" w:cs="宋体"/>
          <w:color w:val="auto"/>
          <w:szCs w:val="21"/>
          <w:highlight w:val="none"/>
        </w:rPr>
        <w:t>关于质量保证金的补充约定：</w:t>
      </w:r>
      <w:r>
        <w:rPr>
          <w:rFonts w:hint="eastAsia" w:ascii="宋体" w:hAnsi="宋体" w:cs="宋体"/>
          <w:color w:val="auto"/>
          <w:szCs w:val="21"/>
          <w:highlight w:val="none"/>
          <w:u w:val="single"/>
        </w:rPr>
        <w:t>质量保证金为最终审定金额的3%，验收合格</w:t>
      </w:r>
      <w:r>
        <w:rPr>
          <w:rFonts w:hint="eastAsia" w:ascii="宋体" w:hAnsi="宋体" w:cs="宋体"/>
          <w:color w:val="auto"/>
          <w:szCs w:val="21"/>
          <w:highlight w:val="none"/>
          <w:u w:val="single"/>
          <w:lang w:val="en-US" w:eastAsia="zh-CN"/>
        </w:rPr>
        <w:t>2</w:t>
      </w:r>
      <w:r>
        <w:rPr>
          <w:rFonts w:hint="eastAsia" w:ascii="宋体" w:hAnsi="宋体" w:cs="宋体"/>
          <w:bCs/>
          <w:color w:val="auto"/>
          <w:szCs w:val="21"/>
          <w:highlight w:val="none"/>
          <w:u w:val="single"/>
          <w:lang w:val="zh-CN"/>
        </w:rPr>
        <w:t>年后无质量缺陷、修复问题一次性退还（不计利息）</w:t>
      </w:r>
      <w:r>
        <w:rPr>
          <w:rFonts w:hint="eastAsia" w:ascii="宋体" w:hAnsi="宋体" w:cs="宋体"/>
          <w:color w:val="auto"/>
          <w:kern w:val="0"/>
          <w:szCs w:val="21"/>
          <w:highlight w:val="none"/>
        </w:rPr>
        <w:t>。</w:t>
      </w:r>
    </w:p>
    <w:bookmarkEnd w:id="1374"/>
    <w:bookmarkEnd w:id="1375"/>
    <w:p w14:paraId="15A92CCA">
      <w:pPr>
        <w:spacing w:line="480" w:lineRule="exact"/>
        <w:ind w:firstLine="420" w:firstLineChars="200"/>
        <w:rPr>
          <w:rFonts w:ascii="宋体" w:hAnsi="宋体" w:cs="宋体"/>
          <w:color w:val="auto"/>
          <w:szCs w:val="21"/>
          <w:highlight w:val="none"/>
        </w:rPr>
      </w:pPr>
      <w:r>
        <w:rPr>
          <w:rFonts w:hint="eastAsia" w:ascii="宋体" w:hAnsi="宋体" w:cs="宋体"/>
          <w:color w:val="auto"/>
          <w:szCs w:val="21"/>
          <w:highlight w:val="none"/>
        </w:rPr>
        <w:t>15.4保修</w:t>
      </w:r>
    </w:p>
    <w:bookmarkEnd w:id="1376"/>
    <w:p w14:paraId="62302357">
      <w:pPr>
        <w:spacing w:line="480" w:lineRule="exact"/>
        <w:ind w:firstLine="409" w:firstLineChars="195"/>
        <w:jc w:val="left"/>
        <w:rPr>
          <w:rFonts w:ascii="宋体" w:hAnsi="宋体" w:cs="宋体"/>
          <w:color w:val="auto"/>
          <w:szCs w:val="21"/>
          <w:highlight w:val="none"/>
        </w:rPr>
      </w:pPr>
      <w:r>
        <w:rPr>
          <w:rFonts w:hint="eastAsia" w:ascii="宋体" w:hAnsi="宋体" w:cs="宋体"/>
          <w:color w:val="auto"/>
          <w:szCs w:val="21"/>
          <w:highlight w:val="none"/>
        </w:rPr>
        <w:t>15.4.1 保修责任</w:t>
      </w:r>
    </w:p>
    <w:p w14:paraId="315FBBE9">
      <w:pPr>
        <w:pStyle w:val="27"/>
        <w:spacing w:line="480" w:lineRule="exact"/>
        <w:ind w:left="59" w:leftChars="28" w:firstLine="315" w:firstLineChars="150"/>
        <w:rPr>
          <w:rFonts w:ascii="宋体" w:hAnsi="宋体" w:eastAsia="宋体" w:cs="宋体"/>
          <w:color w:val="auto"/>
          <w:sz w:val="21"/>
          <w:szCs w:val="21"/>
          <w:highlight w:val="none"/>
          <w:u w:val="single"/>
        </w:rPr>
      </w:pPr>
      <w:r>
        <w:rPr>
          <w:rFonts w:hint="eastAsia" w:ascii="宋体" w:hAnsi="宋体" w:eastAsia="宋体" w:cs="宋体"/>
          <w:color w:val="auto"/>
          <w:sz w:val="21"/>
          <w:szCs w:val="21"/>
          <w:highlight w:val="none"/>
        </w:rPr>
        <w:t>工程保修期为：</w:t>
      </w:r>
      <w:r>
        <w:rPr>
          <w:rFonts w:hint="eastAsia" w:ascii="宋体" w:hAnsi="宋体" w:eastAsia="宋体" w:cs="宋体"/>
          <w:b/>
          <w:bCs/>
          <w:color w:val="auto"/>
          <w:sz w:val="21"/>
          <w:szCs w:val="21"/>
          <w:highlight w:val="none"/>
          <w:u w:val="single"/>
          <w:lang w:val="zh-CN"/>
        </w:rPr>
        <w:t xml:space="preserve"> 2</w:t>
      </w:r>
      <w:r>
        <w:rPr>
          <w:rFonts w:hint="eastAsia" w:ascii="宋体" w:hAnsi="宋体" w:eastAsia="宋体" w:cs="宋体"/>
          <w:color w:val="auto"/>
          <w:sz w:val="21"/>
          <w:szCs w:val="21"/>
          <w:highlight w:val="none"/>
          <w:u w:val="single"/>
          <w:lang w:val="zh-CN"/>
        </w:rPr>
        <w:t>年</w:t>
      </w:r>
      <w:r>
        <w:rPr>
          <w:rFonts w:hint="eastAsia" w:ascii="宋体" w:hAnsi="宋体" w:eastAsia="宋体" w:cs="宋体"/>
          <w:color w:val="auto"/>
          <w:sz w:val="21"/>
          <w:szCs w:val="21"/>
          <w:highlight w:val="none"/>
          <w:u w:val="single"/>
        </w:rPr>
        <w:t>。</w:t>
      </w:r>
    </w:p>
    <w:p w14:paraId="306DA204">
      <w:pPr>
        <w:spacing w:line="480" w:lineRule="exact"/>
        <w:ind w:firstLine="409" w:firstLineChars="195"/>
        <w:jc w:val="left"/>
        <w:rPr>
          <w:rFonts w:ascii="宋体" w:hAnsi="宋体" w:cs="宋体"/>
          <w:color w:val="auto"/>
          <w:szCs w:val="21"/>
          <w:highlight w:val="none"/>
        </w:rPr>
      </w:pPr>
      <w:r>
        <w:rPr>
          <w:rFonts w:hint="eastAsia" w:ascii="宋体" w:hAnsi="宋体" w:cs="宋体"/>
          <w:color w:val="auto"/>
          <w:szCs w:val="21"/>
          <w:highlight w:val="none"/>
        </w:rPr>
        <w:t>15.4.3 修复通知</w:t>
      </w:r>
    </w:p>
    <w:p w14:paraId="5758ECFF">
      <w:pPr>
        <w:spacing w:line="480" w:lineRule="exact"/>
        <w:ind w:firstLine="409" w:firstLineChars="195"/>
        <w:jc w:val="left"/>
        <w:rPr>
          <w:rFonts w:ascii="宋体" w:hAnsi="宋体" w:cs="宋体"/>
          <w:color w:val="auto"/>
          <w:kern w:val="0"/>
          <w:szCs w:val="21"/>
          <w:highlight w:val="none"/>
          <w:u w:val="single"/>
        </w:rPr>
      </w:pPr>
      <w:r>
        <w:rPr>
          <w:rFonts w:hint="eastAsia" w:ascii="宋体" w:hAnsi="宋体" w:cs="宋体"/>
          <w:color w:val="auto"/>
          <w:kern w:val="0"/>
          <w:szCs w:val="21"/>
          <w:highlight w:val="none"/>
        </w:rPr>
        <w:t>承包人收到保修通知并到达工程现场的合理时间：</w:t>
      </w:r>
      <w:r>
        <w:rPr>
          <w:rFonts w:hint="eastAsia" w:ascii="宋体" w:hAnsi="宋体" w:cs="宋体"/>
          <w:color w:val="auto"/>
          <w:kern w:val="0"/>
          <w:szCs w:val="21"/>
          <w:highlight w:val="none"/>
          <w:u w:val="single"/>
        </w:rPr>
        <w:t xml:space="preserve">  48小时内</w:t>
      </w:r>
      <w:r>
        <w:rPr>
          <w:rFonts w:hint="eastAsia" w:ascii="宋体" w:hAnsi="宋体" w:cs="宋体"/>
          <w:color w:val="auto"/>
          <w:kern w:val="0"/>
          <w:szCs w:val="21"/>
          <w:highlight w:val="none"/>
        </w:rPr>
        <w:t>。</w:t>
      </w:r>
    </w:p>
    <w:bookmarkEnd w:id="1377"/>
    <w:bookmarkEnd w:id="1378"/>
    <w:bookmarkEnd w:id="1379"/>
    <w:bookmarkEnd w:id="1380"/>
    <w:p w14:paraId="29A85046">
      <w:pPr>
        <w:pStyle w:val="6"/>
        <w:spacing w:line="480" w:lineRule="exact"/>
        <w:jc w:val="left"/>
        <w:rPr>
          <w:rFonts w:ascii="宋体" w:hAnsi="宋体" w:cs="宋体"/>
          <w:b/>
          <w:color w:val="auto"/>
          <w:szCs w:val="21"/>
          <w:highlight w:val="none"/>
        </w:rPr>
      </w:pPr>
      <w:bookmarkStart w:id="1403" w:name="_Toc351203648"/>
      <w:bookmarkStart w:id="1404" w:name="_Toc280868717"/>
      <w:bookmarkStart w:id="1405" w:name="_Toc280868718"/>
      <w:r>
        <w:rPr>
          <w:rFonts w:hint="eastAsia" w:ascii="宋体" w:hAnsi="宋体" w:cs="宋体"/>
          <w:b/>
          <w:color w:val="auto"/>
          <w:szCs w:val="21"/>
          <w:highlight w:val="none"/>
        </w:rPr>
        <w:t>16. 违约</w:t>
      </w:r>
      <w:bookmarkEnd w:id="1403"/>
    </w:p>
    <w:p w14:paraId="59200170">
      <w:pPr>
        <w:spacing w:line="480" w:lineRule="exact"/>
        <w:ind w:firstLine="420" w:firstLineChars="200"/>
        <w:rPr>
          <w:rFonts w:ascii="宋体" w:hAnsi="宋体" w:cs="宋体"/>
          <w:color w:val="auto"/>
          <w:szCs w:val="21"/>
          <w:highlight w:val="none"/>
        </w:rPr>
      </w:pPr>
      <w:r>
        <w:rPr>
          <w:rFonts w:hint="eastAsia" w:ascii="宋体" w:hAnsi="宋体" w:cs="宋体"/>
          <w:color w:val="auto"/>
          <w:szCs w:val="21"/>
          <w:highlight w:val="none"/>
        </w:rPr>
        <w:t>16.1 发包人违约</w:t>
      </w:r>
    </w:p>
    <w:p w14:paraId="017C2841">
      <w:pPr>
        <w:spacing w:line="480" w:lineRule="exact"/>
        <w:ind w:firstLine="420" w:firstLineChars="200"/>
        <w:jc w:val="left"/>
        <w:rPr>
          <w:rFonts w:ascii="宋体" w:hAnsi="宋体" w:cs="宋体"/>
          <w:color w:val="auto"/>
          <w:szCs w:val="21"/>
          <w:highlight w:val="none"/>
        </w:rPr>
      </w:pPr>
      <w:r>
        <w:rPr>
          <w:rFonts w:hint="eastAsia" w:ascii="宋体" w:hAnsi="宋体" w:cs="宋体"/>
          <w:color w:val="auto"/>
          <w:szCs w:val="21"/>
          <w:highlight w:val="none"/>
        </w:rPr>
        <w:t>16.1.1发包人违约的情形</w:t>
      </w:r>
    </w:p>
    <w:p w14:paraId="0BAEDB15">
      <w:pPr>
        <w:spacing w:line="480" w:lineRule="exact"/>
        <w:ind w:firstLine="420" w:firstLineChars="200"/>
        <w:jc w:val="left"/>
        <w:rPr>
          <w:rFonts w:ascii="宋体" w:hAnsi="宋体" w:cs="宋体"/>
          <w:color w:val="auto"/>
          <w:kern w:val="0"/>
          <w:szCs w:val="21"/>
          <w:highlight w:val="none"/>
          <w:u w:val="single"/>
        </w:rPr>
      </w:pPr>
      <w:r>
        <w:rPr>
          <w:rFonts w:hint="eastAsia" w:ascii="宋体" w:hAnsi="宋体" w:cs="宋体"/>
          <w:color w:val="auto"/>
          <w:kern w:val="0"/>
          <w:szCs w:val="21"/>
          <w:highlight w:val="none"/>
        </w:rPr>
        <w:t>发包人违约的其他情形：</w:t>
      </w:r>
      <w:r>
        <w:rPr>
          <w:rFonts w:hint="eastAsia" w:ascii="宋体" w:hAnsi="宋体" w:cs="宋体"/>
          <w:color w:val="auto"/>
          <w:kern w:val="0"/>
          <w:szCs w:val="21"/>
          <w:highlight w:val="none"/>
          <w:u w:val="single"/>
        </w:rPr>
        <w:t xml:space="preserve">  </w:t>
      </w:r>
      <w:r>
        <w:rPr>
          <w:rFonts w:hint="eastAsia" w:ascii="宋体" w:hAnsi="宋体" w:cs="宋体"/>
          <w:color w:val="auto"/>
          <w:kern w:val="0"/>
          <w:szCs w:val="21"/>
          <w:highlight w:val="none"/>
          <w:u w:val="single"/>
          <w:lang w:val="en-US" w:eastAsia="zh-CN"/>
        </w:rPr>
        <w:t>/</w:t>
      </w:r>
      <w:r>
        <w:rPr>
          <w:rFonts w:hint="eastAsia" w:ascii="宋体" w:hAnsi="宋体" w:cs="宋体"/>
          <w:color w:val="auto"/>
          <w:kern w:val="0"/>
          <w:szCs w:val="21"/>
          <w:highlight w:val="none"/>
        </w:rPr>
        <w:t>。</w:t>
      </w:r>
    </w:p>
    <w:p w14:paraId="148717EF">
      <w:pPr>
        <w:spacing w:line="480" w:lineRule="exact"/>
        <w:ind w:left="1050" w:hanging="1050" w:hangingChars="500"/>
        <w:jc w:val="left"/>
        <w:rPr>
          <w:rFonts w:ascii="宋体" w:hAnsi="宋体" w:cs="宋体"/>
          <w:color w:val="auto"/>
          <w:kern w:val="0"/>
          <w:szCs w:val="21"/>
          <w:highlight w:val="none"/>
        </w:rPr>
      </w:pPr>
      <w:r>
        <w:rPr>
          <w:rFonts w:hint="eastAsia" w:ascii="宋体" w:hAnsi="宋体" w:cs="宋体"/>
          <w:color w:val="auto"/>
          <w:kern w:val="0"/>
          <w:szCs w:val="21"/>
          <w:highlight w:val="none"/>
        </w:rPr>
        <w:t xml:space="preserve">    16.1.2 发包人违约的责任</w:t>
      </w:r>
    </w:p>
    <w:p w14:paraId="76B14B13">
      <w:pPr>
        <w:spacing w:line="480" w:lineRule="exact"/>
        <w:ind w:firstLine="420" w:firstLineChars="200"/>
        <w:jc w:val="left"/>
        <w:rPr>
          <w:rFonts w:ascii="宋体" w:hAnsi="宋体" w:cs="宋体"/>
          <w:color w:val="auto"/>
          <w:kern w:val="0"/>
          <w:szCs w:val="21"/>
          <w:highlight w:val="none"/>
        </w:rPr>
      </w:pPr>
      <w:r>
        <w:rPr>
          <w:rFonts w:hint="eastAsia" w:ascii="宋体" w:hAnsi="宋体" w:cs="宋体"/>
          <w:color w:val="auto"/>
          <w:kern w:val="0"/>
          <w:szCs w:val="21"/>
          <w:highlight w:val="none"/>
        </w:rPr>
        <w:t>发包人违约责任的承担方式和计算方法：</w:t>
      </w:r>
    </w:p>
    <w:p w14:paraId="33037651">
      <w:pPr>
        <w:spacing w:line="480" w:lineRule="exact"/>
        <w:ind w:firstLine="420" w:firstLineChars="200"/>
        <w:jc w:val="left"/>
        <w:rPr>
          <w:rFonts w:ascii="宋体" w:hAnsi="宋体" w:cs="宋体"/>
          <w:color w:val="auto"/>
          <w:kern w:val="0"/>
          <w:szCs w:val="21"/>
          <w:highlight w:val="none"/>
          <w:u w:val="single"/>
        </w:rPr>
      </w:pPr>
      <w:r>
        <w:rPr>
          <w:rFonts w:hint="eastAsia" w:ascii="宋体" w:hAnsi="宋体" w:cs="宋体"/>
          <w:color w:val="auto"/>
          <w:kern w:val="0"/>
          <w:szCs w:val="21"/>
          <w:highlight w:val="none"/>
        </w:rPr>
        <w:t>（1）因发包人原因未能在计划开工日期前7天内下达开工通知的违约责任：</w:t>
      </w:r>
      <w:r>
        <w:rPr>
          <w:rFonts w:hint="eastAsia" w:ascii="宋体" w:hAnsi="宋体" w:cs="宋体"/>
          <w:color w:val="auto"/>
          <w:kern w:val="0"/>
          <w:szCs w:val="21"/>
          <w:highlight w:val="none"/>
          <w:u w:val="single"/>
        </w:rPr>
        <w:t xml:space="preserve">  ／</w:t>
      </w:r>
      <w:r>
        <w:rPr>
          <w:rFonts w:hint="eastAsia" w:ascii="宋体" w:hAnsi="宋体" w:cs="宋体"/>
          <w:color w:val="auto"/>
          <w:kern w:val="0"/>
          <w:szCs w:val="21"/>
          <w:highlight w:val="none"/>
        </w:rPr>
        <w:t>。</w:t>
      </w:r>
    </w:p>
    <w:p w14:paraId="50BCE856">
      <w:pPr>
        <w:spacing w:line="480" w:lineRule="exact"/>
        <w:ind w:firstLine="420" w:firstLineChars="200"/>
        <w:jc w:val="left"/>
        <w:rPr>
          <w:rFonts w:hint="eastAsia" w:ascii="宋体" w:hAnsi="宋体" w:cs="宋体"/>
          <w:color w:val="auto"/>
          <w:kern w:val="0"/>
          <w:szCs w:val="21"/>
          <w:highlight w:val="none"/>
          <w:u w:val="single"/>
        </w:rPr>
      </w:pPr>
      <w:r>
        <w:rPr>
          <w:rFonts w:hint="eastAsia" w:ascii="宋体" w:hAnsi="宋体" w:cs="宋体"/>
          <w:color w:val="auto"/>
          <w:kern w:val="0"/>
          <w:szCs w:val="21"/>
          <w:highlight w:val="none"/>
        </w:rPr>
        <w:t>（2）因发包人原因未能按合同约定支付合同价款的违约责任：</w:t>
      </w:r>
      <w:r>
        <w:rPr>
          <w:rFonts w:hint="eastAsia" w:ascii="宋体" w:hAnsi="宋体" w:cs="宋体"/>
          <w:color w:val="auto"/>
          <w:kern w:val="0"/>
          <w:szCs w:val="21"/>
          <w:highlight w:val="none"/>
          <w:u w:val="single"/>
        </w:rPr>
        <w:t>按</w:t>
      </w:r>
      <w:r>
        <w:rPr>
          <w:rFonts w:hint="eastAsia" w:ascii="宋体" w:hAnsi="宋体" w:cs="宋体"/>
          <w:color w:val="auto"/>
          <w:kern w:val="0"/>
          <w:szCs w:val="21"/>
          <w:highlight w:val="none"/>
          <w:u w:val="single"/>
          <w:lang w:eastAsia="zh-CN"/>
        </w:rPr>
        <w:t>同期</w:t>
      </w:r>
      <w:r>
        <w:rPr>
          <w:rFonts w:hint="eastAsia" w:ascii="宋体" w:hAnsi="宋体" w:cs="宋体"/>
          <w:color w:val="auto"/>
          <w:kern w:val="0"/>
          <w:szCs w:val="21"/>
          <w:highlight w:val="none"/>
          <w:u w:val="single"/>
        </w:rPr>
        <w:t>中国人民银行公布的</w:t>
      </w:r>
      <w:r>
        <w:rPr>
          <w:rFonts w:hint="eastAsia" w:ascii="宋体" w:hAnsi="宋体" w:cs="宋体"/>
          <w:color w:val="auto"/>
          <w:kern w:val="0"/>
          <w:szCs w:val="21"/>
          <w:highlight w:val="none"/>
          <w:u w:val="single"/>
          <w:lang w:val="en-US" w:eastAsia="zh-CN"/>
        </w:rPr>
        <w:t>一年期</w:t>
      </w:r>
      <w:r>
        <w:rPr>
          <w:rFonts w:hint="eastAsia" w:ascii="宋体" w:hAnsi="宋体" w:cs="宋体"/>
          <w:color w:val="auto"/>
          <w:kern w:val="0"/>
          <w:szCs w:val="21"/>
          <w:highlight w:val="none"/>
          <w:u w:val="single"/>
        </w:rPr>
        <w:t>LPR利率计算支付违约金。</w:t>
      </w:r>
    </w:p>
    <w:p w14:paraId="749D70D6">
      <w:pPr>
        <w:spacing w:line="480" w:lineRule="exact"/>
        <w:ind w:firstLine="420" w:firstLineChars="200"/>
        <w:jc w:val="left"/>
        <w:rPr>
          <w:rFonts w:ascii="宋体" w:hAnsi="宋体" w:cs="宋体"/>
          <w:color w:val="auto"/>
          <w:kern w:val="0"/>
          <w:szCs w:val="21"/>
          <w:highlight w:val="none"/>
          <w:u w:val="single"/>
        </w:rPr>
      </w:pPr>
      <w:r>
        <w:rPr>
          <w:rFonts w:hint="eastAsia" w:ascii="宋体" w:hAnsi="宋体" w:cs="宋体"/>
          <w:color w:val="auto"/>
          <w:kern w:val="0"/>
          <w:szCs w:val="21"/>
          <w:highlight w:val="none"/>
        </w:rPr>
        <w:t>（3）发包人违反第10.1款〔变更的范围〕第（2）项约定，自行实施被取消的工作或转由他人实施的违约责任：</w:t>
      </w:r>
      <w:r>
        <w:rPr>
          <w:rFonts w:hint="eastAsia" w:ascii="宋体" w:hAnsi="宋体" w:cs="宋体"/>
          <w:color w:val="auto"/>
          <w:kern w:val="0"/>
          <w:szCs w:val="21"/>
          <w:highlight w:val="none"/>
          <w:u w:val="single"/>
        </w:rPr>
        <w:t>支付5%的配合费</w:t>
      </w:r>
      <w:r>
        <w:rPr>
          <w:rFonts w:hint="eastAsia" w:ascii="宋体" w:hAnsi="宋体" w:cs="宋体"/>
          <w:color w:val="auto"/>
          <w:kern w:val="0"/>
          <w:szCs w:val="21"/>
          <w:highlight w:val="none"/>
        </w:rPr>
        <w:t>。</w:t>
      </w:r>
    </w:p>
    <w:p w14:paraId="45FC62F2">
      <w:pPr>
        <w:spacing w:line="480" w:lineRule="exact"/>
        <w:ind w:firstLine="420" w:firstLineChars="200"/>
        <w:jc w:val="left"/>
        <w:rPr>
          <w:rFonts w:ascii="宋体" w:hAnsi="宋体" w:cs="宋体"/>
          <w:color w:val="auto"/>
          <w:kern w:val="0"/>
          <w:szCs w:val="21"/>
          <w:highlight w:val="none"/>
        </w:rPr>
      </w:pPr>
      <w:r>
        <w:rPr>
          <w:rFonts w:hint="eastAsia" w:ascii="宋体" w:hAnsi="宋体" w:cs="宋体"/>
          <w:color w:val="auto"/>
          <w:kern w:val="0"/>
          <w:szCs w:val="21"/>
          <w:highlight w:val="none"/>
        </w:rPr>
        <w:t>（4）发包人提供的材料、工程设备的规格、数量或质量不符合合同约定，或因发包人原因导致交货日期延误或交货地点变更等情况的违约责任：</w:t>
      </w:r>
      <w:r>
        <w:rPr>
          <w:rFonts w:hint="eastAsia" w:ascii="宋体" w:hAnsi="宋体" w:cs="宋体"/>
          <w:color w:val="auto"/>
          <w:kern w:val="0"/>
          <w:szCs w:val="21"/>
          <w:highlight w:val="none"/>
          <w:u w:val="single"/>
        </w:rPr>
        <w:t xml:space="preserve">  ／</w:t>
      </w:r>
      <w:r>
        <w:rPr>
          <w:rFonts w:hint="eastAsia" w:ascii="宋体" w:hAnsi="宋体" w:cs="宋体"/>
          <w:color w:val="auto"/>
          <w:kern w:val="0"/>
          <w:szCs w:val="21"/>
          <w:highlight w:val="none"/>
        </w:rPr>
        <w:t>。</w:t>
      </w:r>
    </w:p>
    <w:p w14:paraId="5DB52D39">
      <w:pPr>
        <w:spacing w:line="480" w:lineRule="exact"/>
        <w:ind w:firstLine="420" w:firstLineChars="200"/>
        <w:jc w:val="left"/>
        <w:rPr>
          <w:rFonts w:ascii="宋体" w:hAnsi="宋体" w:cs="宋体"/>
          <w:color w:val="auto"/>
          <w:kern w:val="0"/>
          <w:szCs w:val="21"/>
          <w:highlight w:val="none"/>
          <w:u w:val="single"/>
        </w:rPr>
      </w:pPr>
      <w:r>
        <w:rPr>
          <w:rFonts w:hint="eastAsia" w:ascii="宋体" w:hAnsi="宋体" w:cs="宋体"/>
          <w:color w:val="auto"/>
          <w:kern w:val="0"/>
          <w:szCs w:val="21"/>
          <w:highlight w:val="none"/>
        </w:rPr>
        <w:t>（5）因发包人违反合同约定造成暂停施工的违约责任：</w:t>
      </w:r>
      <w:r>
        <w:rPr>
          <w:rFonts w:hint="eastAsia" w:ascii="宋体" w:hAnsi="宋体" w:cs="宋体"/>
          <w:color w:val="auto"/>
          <w:kern w:val="0"/>
          <w:szCs w:val="21"/>
          <w:highlight w:val="none"/>
          <w:u w:val="single"/>
        </w:rPr>
        <w:t xml:space="preserve">工期顺延，并协商解决 </w:t>
      </w:r>
      <w:r>
        <w:rPr>
          <w:rFonts w:hint="eastAsia" w:ascii="宋体" w:hAnsi="宋体" w:cs="宋体"/>
          <w:color w:val="auto"/>
          <w:kern w:val="0"/>
          <w:szCs w:val="21"/>
          <w:highlight w:val="none"/>
        </w:rPr>
        <w:t>。</w:t>
      </w:r>
    </w:p>
    <w:p w14:paraId="25AA7A24">
      <w:pPr>
        <w:spacing w:line="480" w:lineRule="exact"/>
        <w:ind w:firstLine="420" w:firstLineChars="200"/>
        <w:jc w:val="left"/>
        <w:rPr>
          <w:rFonts w:ascii="宋体" w:hAnsi="宋体" w:cs="宋体"/>
          <w:color w:val="auto"/>
          <w:kern w:val="0"/>
          <w:szCs w:val="21"/>
          <w:highlight w:val="none"/>
        </w:rPr>
      </w:pPr>
      <w:r>
        <w:rPr>
          <w:rFonts w:hint="eastAsia" w:ascii="宋体" w:hAnsi="宋体" w:cs="宋体"/>
          <w:color w:val="auto"/>
          <w:kern w:val="0"/>
          <w:szCs w:val="21"/>
          <w:highlight w:val="none"/>
        </w:rPr>
        <w:t>（6）发包人无正当理由没有在约定期限内发出复工指示，导致承包人无法复工的违约责任：</w:t>
      </w:r>
      <w:r>
        <w:rPr>
          <w:rFonts w:hint="eastAsia" w:ascii="宋体" w:hAnsi="宋体" w:cs="宋体"/>
          <w:color w:val="auto"/>
          <w:kern w:val="0"/>
          <w:szCs w:val="21"/>
          <w:highlight w:val="none"/>
          <w:u w:val="single"/>
        </w:rPr>
        <w:t>按实赔偿管理人员及机械设备费用</w:t>
      </w:r>
      <w:r>
        <w:rPr>
          <w:rFonts w:hint="eastAsia" w:ascii="宋体" w:hAnsi="宋体" w:cs="宋体"/>
          <w:color w:val="auto"/>
          <w:kern w:val="0"/>
          <w:szCs w:val="21"/>
          <w:highlight w:val="none"/>
        </w:rPr>
        <w:t>。</w:t>
      </w:r>
    </w:p>
    <w:p w14:paraId="32F07239">
      <w:pPr>
        <w:spacing w:line="480" w:lineRule="exact"/>
        <w:ind w:firstLine="420" w:firstLineChars="200"/>
        <w:jc w:val="left"/>
        <w:rPr>
          <w:rFonts w:ascii="宋体" w:hAnsi="宋体" w:cs="宋体"/>
          <w:color w:val="auto"/>
          <w:kern w:val="0"/>
          <w:szCs w:val="21"/>
          <w:highlight w:val="none"/>
        </w:rPr>
      </w:pPr>
      <w:r>
        <w:rPr>
          <w:rFonts w:hint="eastAsia" w:ascii="宋体" w:hAnsi="宋体" w:cs="宋体"/>
          <w:color w:val="auto"/>
          <w:kern w:val="0"/>
          <w:szCs w:val="21"/>
          <w:highlight w:val="none"/>
        </w:rPr>
        <w:t>（7）其他：</w:t>
      </w:r>
      <w:r>
        <w:rPr>
          <w:rFonts w:hint="eastAsia" w:ascii="宋体" w:hAnsi="宋体" w:cs="宋体"/>
          <w:color w:val="auto"/>
          <w:kern w:val="0"/>
          <w:szCs w:val="21"/>
          <w:highlight w:val="none"/>
          <w:u w:val="single"/>
        </w:rPr>
        <w:t xml:space="preserve">   ／     </w:t>
      </w:r>
      <w:r>
        <w:rPr>
          <w:rFonts w:hint="eastAsia" w:ascii="宋体" w:hAnsi="宋体" w:cs="宋体"/>
          <w:color w:val="auto"/>
          <w:kern w:val="0"/>
          <w:szCs w:val="21"/>
          <w:highlight w:val="none"/>
        </w:rPr>
        <w:t>。</w:t>
      </w:r>
    </w:p>
    <w:p w14:paraId="742D794F">
      <w:pPr>
        <w:spacing w:line="480" w:lineRule="exact"/>
        <w:ind w:firstLine="420" w:firstLineChars="200"/>
        <w:jc w:val="left"/>
        <w:rPr>
          <w:rFonts w:ascii="宋体" w:hAnsi="宋体" w:cs="宋体"/>
          <w:color w:val="auto"/>
          <w:szCs w:val="21"/>
          <w:highlight w:val="none"/>
        </w:rPr>
      </w:pPr>
      <w:r>
        <w:rPr>
          <w:rFonts w:hint="eastAsia" w:ascii="宋体" w:hAnsi="宋体" w:cs="宋体"/>
          <w:color w:val="auto"/>
          <w:szCs w:val="21"/>
          <w:highlight w:val="none"/>
        </w:rPr>
        <w:t>16.1.3 因发包人违约解除合同</w:t>
      </w:r>
    </w:p>
    <w:p w14:paraId="78DDD98C">
      <w:pPr>
        <w:autoSpaceDE w:val="0"/>
        <w:autoSpaceDN w:val="0"/>
        <w:adjustRightInd w:val="0"/>
        <w:spacing w:line="480" w:lineRule="exact"/>
        <w:ind w:firstLine="420" w:firstLineChars="200"/>
        <w:jc w:val="left"/>
        <w:rPr>
          <w:rFonts w:ascii="宋体" w:hAnsi="宋体" w:cs="宋体"/>
          <w:color w:val="auto"/>
          <w:kern w:val="0"/>
          <w:szCs w:val="21"/>
          <w:highlight w:val="none"/>
        </w:rPr>
      </w:pPr>
      <w:r>
        <w:rPr>
          <w:rFonts w:hint="eastAsia" w:ascii="宋体" w:hAnsi="宋体" w:cs="宋体"/>
          <w:color w:val="auto"/>
          <w:kern w:val="0"/>
          <w:szCs w:val="21"/>
          <w:highlight w:val="none"/>
        </w:rPr>
        <w:t>承包人按16.1.1项〔发包人违约的情形〕约定暂停施工满</w:t>
      </w:r>
      <w:r>
        <w:rPr>
          <w:rFonts w:hint="eastAsia" w:ascii="宋体" w:hAnsi="宋体" w:cs="宋体"/>
          <w:color w:val="auto"/>
          <w:kern w:val="0"/>
          <w:szCs w:val="21"/>
          <w:highlight w:val="none"/>
          <w:u w:val="single"/>
        </w:rPr>
        <w:t xml:space="preserve">  28  </w:t>
      </w:r>
      <w:r>
        <w:rPr>
          <w:rFonts w:hint="eastAsia" w:ascii="宋体" w:hAnsi="宋体" w:cs="宋体"/>
          <w:color w:val="auto"/>
          <w:kern w:val="0"/>
          <w:szCs w:val="21"/>
          <w:highlight w:val="none"/>
        </w:rPr>
        <w:t>天后发包人仍不纠正其违约行为并致使合同目的不能实现的，承包人有权解除合同。</w:t>
      </w:r>
    </w:p>
    <w:p w14:paraId="2D274ECE">
      <w:pPr>
        <w:spacing w:line="480" w:lineRule="exact"/>
        <w:ind w:firstLine="420" w:firstLineChars="200"/>
        <w:rPr>
          <w:rFonts w:ascii="宋体" w:hAnsi="宋体" w:cs="宋体"/>
          <w:color w:val="auto"/>
          <w:szCs w:val="21"/>
          <w:highlight w:val="none"/>
        </w:rPr>
      </w:pPr>
      <w:r>
        <w:rPr>
          <w:rFonts w:hint="eastAsia" w:ascii="宋体" w:hAnsi="宋体" w:cs="宋体"/>
          <w:color w:val="auto"/>
          <w:szCs w:val="21"/>
          <w:highlight w:val="none"/>
        </w:rPr>
        <w:t>16.2 承包人违约</w:t>
      </w:r>
    </w:p>
    <w:p w14:paraId="4453A477">
      <w:pPr>
        <w:spacing w:line="480" w:lineRule="exact"/>
        <w:ind w:firstLine="420" w:firstLineChars="200"/>
        <w:jc w:val="left"/>
        <w:rPr>
          <w:rFonts w:ascii="宋体" w:hAnsi="宋体" w:cs="宋体"/>
          <w:color w:val="auto"/>
          <w:kern w:val="0"/>
          <w:szCs w:val="21"/>
          <w:highlight w:val="none"/>
        </w:rPr>
      </w:pPr>
      <w:r>
        <w:rPr>
          <w:rFonts w:hint="eastAsia" w:ascii="宋体" w:hAnsi="宋体" w:cs="宋体"/>
          <w:color w:val="auto"/>
          <w:kern w:val="0"/>
          <w:szCs w:val="21"/>
          <w:highlight w:val="none"/>
        </w:rPr>
        <w:t>16.2.1 承包人违约的情形</w:t>
      </w:r>
    </w:p>
    <w:p w14:paraId="31F5E861">
      <w:pPr>
        <w:spacing w:line="480" w:lineRule="exact"/>
        <w:ind w:firstLine="420" w:firstLineChars="200"/>
        <w:jc w:val="left"/>
        <w:rPr>
          <w:rFonts w:ascii="宋体" w:hAnsi="宋体" w:cs="宋体"/>
          <w:color w:val="auto"/>
          <w:kern w:val="0"/>
          <w:szCs w:val="21"/>
          <w:highlight w:val="none"/>
          <w:u w:val="single"/>
        </w:rPr>
      </w:pPr>
      <w:r>
        <w:rPr>
          <w:rFonts w:hint="eastAsia" w:ascii="宋体" w:hAnsi="宋体" w:cs="宋体"/>
          <w:color w:val="auto"/>
          <w:kern w:val="0"/>
          <w:szCs w:val="21"/>
          <w:highlight w:val="none"/>
        </w:rPr>
        <w:t>承包人违约的其他情形：</w:t>
      </w:r>
      <w:r>
        <w:rPr>
          <w:rFonts w:hint="eastAsia" w:ascii="宋体" w:hAnsi="宋体" w:cs="宋体"/>
          <w:snapToGrid w:val="0"/>
          <w:color w:val="auto"/>
          <w:szCs w:val="21"/>
          <w:highlight w:val="none"/>
          <w:u w:val="single"/>
        </w:rPr>
        <w:t>合同订立10日内，</w:t>
      </w:r>
      <w:r>
        <w:rPr>
          <w:rFonts w:hint="eastAsia" w:ascii="宋体" w:hAnsi="宋体" w:cs="宋体"/>
          <w:color w:val="auto"/>
          <w:szCs w:val="21"/>
          <w:highlight w:val="none"/>
          <w:u w:val="single"/>
          <w:lang w:bidi="en-US"/>
        </w:rPr>
        <w:t>因承包人自身原因不能按时进场施工的；因承包人自身原因无故停工15天及以上的</w:t>
      </w:r>
      <w:r>
        <w:rPr>
          <w:rFonts w:hint="eastAsia" w:ascii="宋体" w:hAnsi="宋体" w:cs="宋体"/>
          <w:color w:val="auto"/>
          <w:kern w:val="0"/>
          <w:szCs w:val="21"/>
          <w:highlight w:val="none"/>
          <w:u w:val="single"/>
        </w:rPr>
        <w:t>。</w:t>
      </w:r>
    </w:p>
    <w:p w14:paraId="74E9427B">
      <w:pPr>
        <w:spacing w:line="480" w:lineRule="exact"/>
        <w:ind w:firstLine="420" w:firstLineChars="200"/>
        <w:jc w:val="left"/>
        <w:rPr>
          <w:rFonts w:ascii="宋体" w:hAnsi="宋体" w:cs="宋体"/>
          <w:color w:val="auto"/>
          <w:kern w:val="0"/>
          <w:szCs w:val="21"/>
          <w:highlight w:val="none"/>
        </w:rPr>
      </w:pPr>
      <w:r>
        <w:rPr>
          <w:rFonts w:hint="eastAsia" w:ascii="宋体" w:hAnsi="宋体" w:cs="宋体"/>
          <w:color w:val="auto"/>
          <w:kern w:val="0"/>
          <w:szCs w:val="21"/>
          <w:highlight w:val="none"/>
        </w:rPr>
        <w:t>16.2.2承包人违约的责任</w:t>
      </w:r>
    </w:p>
    <w:p w14:paraId="36983D8E">
      <w:pPr>
        <w:spacing w:line="480" w:lineRule="exact"/>
        <w:ind w:firstLine="420" w:firstLineChars="200"/>
        <w:jc w:val="left"/>
        <w:rPr>
          <w:rFonts w:ascii="宋体" w:hAnsi="宋体" w:cs="宋体"/>
          <w:color w:val="auto"/>
          <w:szCs w:val="21"/>
          <w:highlight w:val="none"/>
        </w:rPr>
      </w:pPr>
      <w:r>
        <w:rPr>
          <w:rFonts w:hint="eastAsia" w:ascii="宋体" w:hAnsi="宋体" w:cs="宋体"/>
          <w:color w:val="auto"/>
          <w:kern w:val="0"/>
          <w:szCs w:val="21"/>
          <w:highlight w:val="none"/>
        </w:rPr>
        <w:t>承包人违约责任的承担方式和计算方法：</w:t>
      </w:r>
      <w:r>
        <w:rPr>
          <w:rFonts w:hint="eastAsia" w:ascii="宋体" w:hAnsi="宋体" w:cs="宋体"/>
          <w:color w:val="auto"/>
          <w:kern w:val="0"/>
          <w:szCs w:val="21"/>
          <w:highlight w:val="none"/>
          <w:u w:val="single"/>
        </w:rPr>
        <w:t>自行承担因违约行为而增加的费用和延误的工期</w:t>
      </w:r>
      <w:r>
        <w:rPr>
          <w:rFonts w:hint="eastAsia" w:ascii="宋体" w:hAnsi="宋体" w:cs="宋体"/>
          <w:color w:val="auto"/>
          <w:kern w:val="0"/>
          <w:szCs w:val="21"/>
          <w:highlight w:val="none"/>
        </w:rPr>
        <w:t>。</w:t>
      </w:r>
    </w:p>
    <w:p w14:paraId="226F4F89">
      <w:pPr>
        <w:spacing w:line="480" w:lineRule="exact"/>
        <w:ind w:firstLine="420" w:firstLineChars="200"/>
        <w:jc w:val="left"/>
        <w:rPr>
          <w:rFonts w:ascii="宋体" w:hAnsi="宋体" w:cs="宋体"/>
          <w:color w:val="auto"/>
          <w:szCs w:val="21"/>
          <w:highlight w:val="none"/>
        </w:rPr>
      </w:pPr>
      <w:r>
        <w:rPr>
          <w:rFonts w:hint="eastAsia" w:ascii="宋体" w:hAnsi="宋体" w:cs="宋体"/>
          <w:color w:val="auto"/>
          <w:szCs w:val="21"/>
          <w:highlight w:val="none"/>
        </w:rPr>
        <w:t>16.2.3 因承包人违约解除合同</w:t>
      </w:r>
    </w:p>
    <w:p w14:paraId="7E1A6E13">
      <w:pPr>
        <w:spacing w:line="480" w:lineRule="exact"/>
        <w:ind w:firstLine="420" w:firstLineChars="200"/>
        <w:rPr>
          <w:rFonts w:ascii="宋体" w:hAnsi="宋体" w:cs="宋体"/>
          <w:color w:val="auto"/>
          <w:kern w:val="0"/>
          <w:szCs w:val="21"/>
          <w:highlight w:val="none"/>
        </w:rPr>
      </w:pPr>
      <w:r>
        <w:rPr>
          <w:rFonts w:hint="eastAsia" w:ascii="宋体" w:hAnsi="宋体" w:cs="宋体"/>
          <w:color w:val="auto"/>
          <w:kern w:val="0"/>
          <w:szCs w:val="21"/>
          <w:highlight w:val="none"/>
        </w:rPr>
        <w:t>关于承包人违约解除合同的特别约定：</w:t>
      </w:r>
      <w:r>
        <w:rPr>
          <w:rFonts w:hint="eastAsia" w:ascii="宋体" w:hAnsi="宋体" w:cs="宋体"/>
          <w:color w:val="auto"/>
          <w:kern w:val="0"/>
          <w:szCs w:val="21"/>
          <w:highlight w:val="none"/>
          <w:u w:val="single"/>
        </w:rPr>
        <w:t xml:space="preserve"> 承包人出现合同通用条款16.2.1（7）条或合同专用条款16.2.1条，发包人有权解除合同，</w:t>
      </w:r>
      <w:r>
        <w:rPr>
          <w:rFonts w:hint="eastAsia" w:ascii="宋体" w:hAnsi="宋体" w:cs="宋体"/>
          <w:color w:val="auto"/>
          <w:szCs w:val="21"/>
          <w:highlight w:val="none"/>
          <w:u w:val="single"/>
          <w:lang w:bidi="en-US"/>
        </w:rPr>
        <w:t>没收其履约担保金，并按实追究给发包人造成的一切损失</w:t>
      </w:r>
      <w:r>
        <w:rPr>
          <w:rFonts w:hint="eastAsia" w:ascii="宋体" w:hAnsi="宋体" w:cs="宋体"/>
          <w:color w:val="auto"/>
          <w:kern w:val="0"/>
          <w:szCs w:val="21"/>
          <w:highlight w:val="none"/>
          <w:u w:val="single"/>
        </w:rPr>
        <w:t xml:space="preserve"> </w:t>
      </w:r>
      <w:r>
        <w:rPr>
          <w:rFonts w:hint="eastAsia" w:ascii="宋体" w:hAnsi="宋体" w:cs="宋体"/>
          <w:color w:val="auto"/>
          <w:kern w:val="0"/>
          <w:szCs w:val="21"/>
          <w:highlight w:val="none"/>
        </w:rPr>
        <w:t>。</w:t>
      </w:r>
    </w:p>
    <w:p w14:paraId="2D5AA8F7">
      <w:pPr>
        <w:spacing w:line="480" w:lineRule="exact"/>
        <w:ind w:firstLine="420" w:firstLineChars="200"/>
        <w:rPr>
          <w:rFonts w:ascii="宋体" w:hAnsi="宋体" w:cs="宋体"/>
          <w:color w:val="auto"/>
          <w:kern w:val="0"/>
          <w:szCs w:val="21"/>
          <w:highlight w:val="none"/>
        </w:rPr>
      </w:pPr>
      <w:r>
        <w:rPr>
          <w:rFonts w:hint="eastAsia" w:ascii="宋体" w:hAnsi="宋体" w:cs="宋体"/>
          <w:color w:val="auto"/>
          <w:kern w:val="0"/>
          <w:szCs w:val="21"/>
          <w:highlight w:val="none"/>
        </w:rPr>
        <w:t>发包人继续使用承包人在施工现场的材料、设备、临时工程、承包人文件和由承包人或以其名义编制的其他文件的费用承担方式：</w:t>
      </w:r>
      <w:r>
        <w:rPr>
          <w:rFonts w:hint="eastAsia" w:ascii="宋体" w:hAnsi="宋体" w:cs="宋体"/>
          <w:color w:val="auto"/>
          <w:kern w:val="0"/>
          <w:szCs w:val="21"/>
          <w:highlight w:val="none"/>
          <w:u w:val="single"/>
        </w:rPr>
        <w:t xml:space="preserve">  按实际发生工程量的60%结算</w:t>
      </w:r>
      <w:r>
        <w:rPr>
          <w:rFonts w:hint="eastAsia" w:ascii="宋体" w:hAnsi="宋体" w:cs="宋体"/>
          <w:color w:val="auto"/>
          <w:kern w:val="0"/>
          <w:szCs w:val="21"/>
          <w:highlight w:val="none"/>
        </w:rPr>
        <w:t>。</w:t>
      </w:r>
    </w:p>
    <w:p w14:paraId="03E1F34C">
      <w:pPr>
        <w:pStyle w:val="2"/>
        <w:ind w:firstLine="420" w:firstLineChars="200"/>
        <w:rPr>
          <w:rFonts w:ascii="宋体" w:hAnsi="宋体" w:cs="宋体"/>
          <w:color w:val="auto"/>
          <w:sz w:val="21"/>
          <w:szCs w:val="21"/>
          <w:highlight w:val="none"/>
        </w:rPr>
      </w:pPr>
      <w:r>
        <w:rPr>
          <w:rFonts w:hint="eastAsia" w:ascii="宋体" w:hAnsi="宋体" w:cs="宋体"/>
          <w:color w:val="auto"/>
          <w:sz w:val="21"/>
          <w:szCs w:val="21"/>
          <w:highlight w:val="none"/>
        </w:rPr>
        <w:t>16.3  因违约造成的损失，除按上述条款承担违约责任外，违约方还应赔偿守约方因处理该违约行为发生的律师费、诉讼费、仲裁费、调查取证费、差旅费及其他为获得违约赔偿支出的一切费用。</w:t>
      </w:r>
    </w:p>
    <w:p w14:paraId="3625C421">
      <w:pPr>
        <w:pStyle w:val="6"/>
        <w:spacing w:line="480" w:lineRule="exact"/>
        <w:jc w:val="left"/>
        <w:rPr>
          <w:rFonts w:ascii="宋体" w:hAnsi="宋体" w:cs="宋体"/>
          <w:b/>
          <w:color w:val="auto"/>
          <w:szCs w:val="21"/>
          <w:highlight w:val="none"/>
        </w:rPr>
      </w:pPr>
      <w:bookmarkStart w:id="1406" w:name="_Toc351203649"/>
      <w:r>
        <w:rPr>
          <w:rFonts w:hint="eastAsia" w:ascii="宋体" w:hAnsi="宋体" w:cs="宋体"/>
          <w:b/>
          <w:color w:val="auto"/>
          <w:szCs w:val="21"/>
          <w:highlight w:val="none"/>
        </w:rPr>
        <w:t>17. 不可抗力</w:t>
      </w:r>
      <w:bookmarkEnd w:id="1406"/>
      <w:r>
        <w:rPr>
          <w:rFonts w:hint="eastAsia" w:ascii="宋体" w:hAnsi="宋体" w:cs="宋体"/>
          <w:b/>
          <w:color w:val="auto"/>
          <w:szCs w:val="21"/>
          <w:highlight w:val="none"/>
        </w:rPr>
        <w:t xml:space="preserve"> </w:t>
      </w:r>
      <w:bookmarkEnd w:id="1404"/>
    </w:p>
    <w:p w14:paraId="1A3707D0">
      <w:pPr>
        <w:spacing w:line="480" w:lineRule="exact"/>
        <w:ind w:firstLine="420" w:firstLineChars="200"/>
        <w:rPr>
          <w:rFonts w:ascii="宋体" w:hAnsi="宋体" w:cs="宋体"/>
          <w:color w:val="auto"/>
          <w:szCs w:val="21"/>
          <w:highlight w:val="none"/>
        </w:rPr>
      </w:pPr>
      <w:r>
        <w:rPr>
          <w:rFonts w:hint="eastAsia" w:ascii="宋体" w:hAnsi="宋体" w:cs="宋体"/>
          <w:color w:val="auto"/>
          <w:szCs w:val="21"/>
          <w:highlight w:val="none"/>
        </w:rPr>
        <w:t>17.1 不可抗力的确认</w:t>
      </w:r>
    </w:p>
    <w:p w14:paraId="79B3C333">
      <w:pPr>
        <w:spacing w:line="480" w:lineRule="exact"/>
        <w:ind w:firstLine="420" w:firstLineChars="200"/>
        <w:jc w:val="left"/>
        <w:rPr>
          <w:rFonts w:ascii="宋体" w:hAnsi="宋体" w:cs="宋体"/>
          <w:color w:val="auto"/>
          <w:kern w:val="0"/>
          <w:szCs w:val="21"/>
          <w:highlight w:val="none"/>
          <w:u w:val="single"/>
        </w:rPr>
      </w:pPr>
      <w:r>
        <w:rPr>
          <w:rFonts w:hint="eastAsia" w:ascii="宋体" w:hAnsi="宋体" w:cs="宋体"/>
          <w:color w:val="auto"/>
          <w:kern w:val="0"/>
          <w:szCs w:val="21"/>
          <w:highlight w:val="none"/>
        </w:rPr>
        <w:t>除通用合同条款约定的不可抗力事件之外，视为不可抗力的其他情形：</w:t>
      </w:r>
      <w:r>
        <w:rPr>
          <w:rFonts w:hint="eastAsia" w:ascii="宋体" w:hAnsi="宋体" w:cs="宋体"/>
          <w:color w:val="auto"/>
          <w:highlight w:val="none"/>
          <w:u w:val="single"/>
        </w:rPr>
        <w:t xml:space="preserve">  执行通用条款  </w:t>
      </w:r>
      <w:r>
        <w:rPr>
          <w:rFonts w:hint="eastAsia" w:ascii="宋体" w:hAnsi="宋体" w:cs="宋体"/>
          <w:color w:val="auto"/>
          <w:kern w:val="0"/>
          <w:szCs w:val="21"/>
          <w:highlight w:val="none"/>
        </w:rPr>
        <w:t>。</w:t>
      </w:r>
    </w:p>
    <w:p w14:paraId="24F6CE3E">
      <w:pPr>
        <w:spacing w:line="480" w:lineRule="exact"/>
        <w:ind w:firstLine="420" w:firstLineChars="200"/>
        <w:rPr>
          <w:rFonts w:ascii="宋体" w:hAnsi="宋体" w:cs="宋体"/>
          <w:color w:val="auto"/>
          <w:szCs w:val="21"/>
          <w:highlight w:val="none"/>
        </w:rPr>
      </w:pPr>
      <w:r>
        <w:rPr>
          <w:rFonts w:hint="eastAsia" w:ascii="宋体" w:hAnsi="宋体" w:cs="宋体"/>
          <w:color w:val="auto"/>
          <w:szCs w:val="21"/>
          <w:highlight w:val="none"/>
        </w:rPr>
        <w:t>17.4 因不可抗力解除合同</w:t>
      </w:r>
    </w:p>
    <w:p w14:paraId="017A77DC">
      <w:pPr>
        <w:spacing w:line="480" w:lineRule="exact"/>
        <w:ind w:firstLine="420" w:firstLineChars="200"/>
        <w:jc w:val="left"/>
        <w:rPr>
          <w:rFonts w:ascii="宋体" w:hAnsi="宋体" w:cs="宋体"/>
          <w:color w:val="auto"/>
          <w:szCs w:val="21"/>
          <w:highlight w:val="none"/>
        </w:rPr>
      </w:pPr>
      <w:r>
        <w:rPr>
          <w:rFonts w:hint="eastAsia" w:ascii="宋体" w:hAnsi="宋体" w:cs="宋体"/>
          <w:color w:val="auto"/>
          <w:szCs w:val="21"/>
          <w:highlight w:val="none"/>
        </w:rPr>
        <w:t>合同解除后，发包人应在商定或确定发包人应支付款项后</w:t>
      </w:r>
      <w:r>
        <w:rPr>
          <w:rFonts w:hint="eastAsia" w:ascii="宋体" w:hAnsi="宋体" w:cs="宋体"/>
          <w:color w:val="auto"/>
          <w:szCs w:val="21"/>
          <w:highlight w:val="none"/>
          <w:u w:val="single"/>
        </w:rPr>
        <w:t xml:space="preserve"> 14  </w:t>
      </w:r>
      <w:r>
        <w:rPr>
          <w:rFonts w:hint="eastAsia" w:ascii="宋体" w:hAnsi="宋体" w:cs="宋体"/>
          <w:color w:val="auto"/>
          <w:szCs w:val="21"/>
          <w:highlight w:val="none"/>
        </w:rPr>
        <w:t>天内完成款项的支付。</w:t>
      </w:r>
    </w:p>
    <w:p w14:paraId="7B9467F0">
      <w:pPr>
        <w:pStyle w:val="6"/>
        <w:spacing w:line="480" w:lineRule="exact"/>
        <w:jc w:val="left"/>
        <w:rPr>
          <w:rFonts w:ascii="宋体" w:hAnsi="宋体" w:cs="宋体"/>
          <w:b/>
          <w:color w:val="auto"/>
          <w:szCs w:val="21"/>
          <w:highlight w:val="none"/>
        </w:rPr>
      </w:pPr>
      <w:bookmarkStart w:id="1407" w:name="_Toc351203650"/>
      <w:r>
        <w:rPr>
          <w:rFonts w:hint="eastAsia" w:ascii="宋体" w:hAnsi="宋体" w:cs="宋体"/>
          <w:b/>
          <w:color w:val="auto"/>
          <w:szCs w:val="21"/>
          <w:highlight w:val="none"/>
        </w:rPr>
        <w:t>18. 保险</w:t>
      </w:r>
      <w:bookmarkEnd w:id="1407"/>
    </w:p>
    <w:bookmarkEnd w:id="1405"/>
    <w:p w14:paraId="384BD113">
      <w:pPr>
        <w:spacing w:line="480" w:lineRule="exact"/>
        <w:ind w:firstLine="420" w:firstLineChars="200"/>
        <w:rPr>
          <w:rFonts w:ascii="宋体" w:hAnsi="宋体" w:cs="宋体"/>
          <w:color w:val="auto"/>
          <w:szCs w:val="21"/>
          <w:highlight w:val="none"/>
        </w:rPr>
      </w:pPr>
      <w:r>
        <w:rPr>
          <w:rFonts w:hint="eastAsia" w:ascii="宋体" w:hAnsi="宋体" w:cs="宋体"/>
          <w:color w:val="auto"/>
          <w:szCs w:val="21"/>
          <w:highlight w:val="none"/>
        </w:rPr>
        <w:t>18.1 工程保险</w:t>
      </w:r>
    </w:p>
    <w:p w14:paraId="12B69562">
      <w:pPr>
        <w:spacing w:line="480" w:lineRule="exact"/>
        <w:ind w:firstLine="420" w:firstLineChars="200"/>
        <w:jc w:val="left"/>
        <w:rPr>
          <w:rFonts w:ascii="宋体" w:hAnsi="宋体" w:cs="宋体"/>
          <w:color w:val="auto"/>
          <w:szCs w:val="21"/>
          <w:highlight w:val="none"/>
        </w:rPr>
      </w:pPr>
      <w:r>
        <w:rPr>
          <w:rFonts w:hint="eastAsia" w:ascii="宋体" w:hAnsi="宋体" w:cs="宋体"/>
          <w:color w:val="auto"/>
          <w:szCs w:val="21"/>
          <w:highlight w:val="none"/>
        </w:rPr>
        <w:t>关于工程保险的特别约定：</w:t>
      </w:r>
      <w:r>
        <w:rPr>
          <w:rFonts w:hint="eastAsia" w:ascii="宋体" w:hAnsi="宋体" w:cs="宋体"/>
          <w:color w:val="auto"/>
          <w:szCs w:val="21"/>
          <w:highlight w:val="none"/>
          <w:u w:val="single"/>
        </w:rPr>
        <w:t>承包人承担相关保险费用，包含在合同价格（计入竞选报价）中，发包人不另行支付。投保内容为本合同工程的建筑工程一切险、安装工程一切险以及第三者责任险</w:t>
      </w:r>
      <w:r>
        <w:rPr>
          <w:rFonts w:hint="eastAsia" w:ascii="宋体" w:hAnsi="宋体" w:cs="宋体"/>
          <w:color w:val="auto"/>
          <w:kern w:val="0"/>
          <w:szCs w:val="21"/>
          <w:highlight w:val="none"/>
        </w:rPr>
        <w:t>。</w:t>
      </w:r>
    </w:p>
    <w:p w14:paraId="7CEC12FB">
      <w:pPr>
        <w:spacing w:line="360" w:lineRule="auto"/>
        <w:ind w:firstLine="420" w:firstLineChars="200"/>
        <w:rPr>
          <w:rFonts w:ascii="宋体" w:hAnsi="宋体" w:cs="宋体"/>
          <w:color w:val="auto"/>
          <w:szCs w:val="21"/>
          <w:highlight w:val="none"/>
        </w:rPr>
      </w:pPr>
      <w:r>
        <w:rPr>
          <w:rFonts w:hint="eastAsia" w:ascii="宋体" w:hAnsi="宋体" w:cs="宋体"/>
          <w:color w:val="auto"/>
          <w:szCs w:val="21"/>
          <w:highlight w:val="none"/>
        </w:rPr>
        <w:t>18.3 其他保险</w:t>
      </w:r>
    </w:p>
    <w:p w14:paraId="7E5F3EFE">
      <w:pPr>
        <w:spacing w:line="360" w:lineRule="auto"/>
        <w:jc w:val="left"/>
        <w:rPr>
          <w:rFonts w:ascii="宋体" w:hAnsi="宋体" w:cs="宋体"/>
          <w:color w:val="auto"/>
          <w:kern w:val="0"/>
          <w:szCs w:val="21"/>
          <w:highlight w:val="none"/>
        </w:rPr>
      </w:pPr>
      <w:r>
        <w:rPr>
          <w:rFonts w:hint="eastAsia" w:ascii="宋体" w:hAnsi="宋体" w:cs="宋体"/>
          <w:color w:val="auto"/>
          <w:szCs w:val="21"/>
          <w:highlight w:val="none"/>
        </w:rPr>
        <w:t>关于其他保险的约定：</w:t>
      </w:r>
      <w:r>
        <w:rPr>
          <w:rFonts w:hint="eastAsia" w:ascii="宋体" w:hAnsi="宋体" w:cs="宋体"/>
          <w:color w:val="auto"/>
          <w:kern w:val="0"/>
          <w:szCs w:val="21"/>
          <w:highlight w:val="none"/>
          <w:u w:val="single"/>
        </w:rPr>
        <w:t xml:space="preserve">承包人为其履行合同的全部员工办理工伤保险 ，缴纳工伤保险费  </w:t>
      </w:r>
      <w:r>
        <w:rPr>
          <w:rFonts w:hint="eastAsia" w:ascii="宋体" w:hAnsi="宋体" w:cs="宋体"/>
          <w:color w:val="auto"/>
          <w:kern w:val="0"/>
          <w:szCs w:val="21"/>
          <w:highlight w:val="none"/>
        </w:rPr>
        <w:t>。</w:t>
      </w:r>
    </w:p>
    <w:p w14:paraId="4733DA28">
      <w:pPr>
        <w:spacing w:line="360" w:lineRule="auto"/>
        <w:ind w:firstLine="420" w:firstLineChars="200"/>
        <w:jc w:val="left"/>
        <w:rPr>
          <w:rFonts w:ascii="宋体" w:hAnsi="宋体" w:cs="宋体"/>
          <w:color w:val="auto"/>
          <w:kern w:val="0"/>
          <w:szCs w:val="21"/>
          <w:highlight w:val="none"/>
        </w:rPr>
      </w:pPr>
      <w:r>
        <w:rPr>
          <w:rFonts w:hint="eastAsia" w:ascii="宋体" w:hAnsi="宋体" w:cs="宋体"/>
          <w:color w:val="auto"/>
          <w:szCs w:val="21"/>
          <w:highlight w:val="none"/>
        </w:rPr>
        <w:t>承包人是否应为其施工设备等办理财产保险：</w:t>
      </w:r>
      <w:r>
        <w:rPr>
          <w:rFonts w:hint="eastAsia" w:ascii="宋体" w:hAnsi="宋体" w:cs="宋体"/>
          <w:color w:val="auto"/>
          <w:szCs w:val="21"/>
          <w:highlight w:val="none"/>
          <w:u w:val="single"/>
        </w:rPr>
        <w:t xml:space="preserve">                                </w:t>
      </w:r>
      <w:r>
        <w:rPr>
          <w:rFonts w:hint="eastAsia" w:ascii="宋体" w:hAnsi="宋体" w:cs="宋体"/>
          <w:color w:val="auto"/>
          <w:szCs w:val="21"/>
          <w:highlight w:val="none"/>
        </w:rPr>
        <w:t>。</w:t>
      </w:r>
    </w:p>
    <w:p w14:paraId="55A3DBE2">
      <w:pPr>
        <w:spacing w:line="360" w:lineRule="auto"/>
        <w:ind w:firstLine="420" w:firstLineChars="200"/>
        <w:rPr>
          <w:rFonts w:ascii="宋体" w:hAnsi="宋体" w:cs="宋体"/>
          <w:color w:val="auto"/>
          <w:szCs w:val="21"/>
          <w:highlight w:val="none"/>
        </w:rPr>
      </w:pPr>
      <w:r>
        <w:rPr>
          <w:rFonts w:hint="eastAsia" w:ascii="宋体" w:hAnsi="宋体" w:cs="宋体"/>
          <w:color w:val="auto"/>
          <w:szCs w:val="21"/>
          <w:highlight w:val="none"/>
        </w:rPr>
        <w:t>18.7 通知义务</w:t>
      </w:r>
    </w:p>
    <w:p w14:paraId="3751C3B2">
      <w:pPr>
        <w:spacing w:line="360" w:lineRule="auto"/>
        <w:ind w:firstLine="420" w:firstLineChars="200"/>
        <w:jc w:val="left"/>
        <w:rPr>
          <w:rFonts w:ascii="宋体" w:hAnsi="宋体" w:cs="宋体"/>
          <w:color w:val="auto"/>
          <w:szCs w:val="21"/>
          <w:highlight w:val="none"/>
          <w:u w:val="single"/>
        </w:rPr>
      </w:pPr>
      <w:r>
        <w:rPr>
          <w:rFonts w:hint="eastAsia" w:ascii="宋体" w:hAnsi="宋体" w:cs="宋体"/>
          <w:color w:val="auto"/>
          <w:kern w:val="0"/>
          <w:szCs w:val="21"/>
          <w:highlight w:val="none"/>
        </w:rPr>
        <w:t>关于变更保险合同时的通知义务的约定：</w:t>
      </w:r>
      <w:r>
        <w:rPr>
          <w:rFonts w:hint="eastAsia" w:ascii="宋体" w:hAnsi="宋体" w:cs="宋体"/>
          <w:color w:val="auto"/>
          <w:szCs w:val="21"/>
          <w:highlight w:val="none"/>
          <w:u w:val="single"/>
        </w:rPr>
        <w:t xml:space="preserve">                  </w:t>
      </w:r>
      <w:r>
        <w:rPr>
          <w:rFonts w:hint="eastAsia" w:ascii="宋体" w:hAnsi="宋体" w:cs="宋体"/>
          <w:color w:val="auto"/>
          <w:szCs w:val="21"/>
          <w:highlight w:val="none"/>
        </w:rPr>
        <w:t>。</w:t>
      </w:r>
    </w:p>
    <w:bookmarkEnd w:id="1381"/>
    <w:bookmarkEnd w:id="1382"/>
    <w:bookmarkEnd w:id="1383"/>
    <w:bookmarkEnd w:id="1384"/>
    <w:bookmarkEnd w:id="1385"/>
    <w:bookmarkEnd w:id="1386"/>
    <w:bookmarkEnd w:id="1387"/>
    <w:bookmarkEnd w:id="1388"/>
    <w:bookmarkEnd w:id="1389"/>
    <w:bookmarkEnd w:id="1390"/>
    <w:bookmarkEnd w:id="1391"/>
    <w:bookmarkEnd w:id="1392"/>
    <w:p w14:paraId="00F1AEEA">
      <w:pPr>
        <w:spacing w:line="360" w:lineRule="auto"/>
        <w:rPr>
          <w:rFonts w:ascii="宋体" w:hAnsi="宋体" w:cs="宋体"/>
          <w:color w:val="auto"/>
          <w:kern w:val="0"/>
          <w:highlight w:val="none"/>
        </w:rPr>
      </w:pPr>
      <w:bookmarkStart w:id="1408" w:name="_Toc351203651"/>
      <w:r>
        <w:rPr>
          <w:rFonts w:hint="eastAsia" w:ascii="宋体" w:hAnsi="宋体" w:cs="宋体"/>
          <w:b/>
          <w:bCs/>
          <w:color w:val="auto"/>
          <w:kern w:val="0"/>
          <w:highlight w:val="none"/>
        </w:rPr>
        <w:t>19.农民工工资保证金</w:t>
      </w:r>
    </w:p>
    <w:p w14:paraId="53B97025">
      <w:pPr>
        <w:spacing w:line="360" w:lineRule="auto"/>
        <w:ind w:firstLine="420" w:firstLineChars="200"/>
        <w:rPr>
          <w:rFonts w:ascii="宋体" w:hAnsi="宋体" w:cs="宋体"/>
          <w:color w:val="auto"/>
          <w:highlight w:val="none"/>
        </w:rPr>
      </w:pPr>
      <w:r>
        <w:rPr>
          <w:rFonts w:hint="eastAsia" w:ascii="宋体" w:hAnsi="宋体" w:cs="宋体"/>
          <w:color w:val="auto"/>
          <w:highlight w:val="none"/>
        </w:rPr>
        <w:t>1．农民工工资保证金</w:t>
      </w:r>
    </w:p>
    <w:p w14:paraId="560F7B74">
      <w:pPr>
        <w:spacing w:line="360" w:lineRule="auto"/>
        <w:ind w:firstLine="420" w:firstLineChars="200"/>
        <w:rPr>
          <w:rFonts w:ascii="宋体" w:hAnsi="宋体" w:cs="宋体"/>
          <w:color w:val="auto"/>
          <w:highlight w:val="none"/>
        </w:rPr>
      </w:pPr>
      <w:r>
        <w:rPr>
          <w:rFonts w:hint="eastAsia" w:ascii="宋体" w:hAnsi="宋体" w:cs="宋体"/>
          <w:color w:val="auto"/>
          <w:highlight w:val="none"/>
        </w:rPr>
        <w:t>1.1发包人、承包人按规定缴存农民工工资保证金。</w:t>
      </w:r>
    </w:p>
    <w:p w14:paraId="181A6A21">
      <w:pPr>
        <w:spacing w:line="360" w:lineRule="auto"/>
        <w:ind w:firstLine="420" w:firstLineChars="200"/>
        <w:rPr>
          <w:rFonts w:ascii="宋体" w:hAnsi="宋体" w:cs="宋体"/>
          <w:color w:val="auto"/>
          <w:highlight w:val="none"/>
        </w:rPr>
      </w:pPr>
      <w:r>
        <w:rPr>
          <w:rFonts w:hint="eastAsia" w:ascii="宋体" w:hAnsi="宋体" w:cs="宋体"/>
          <w:color w:val="auto"/>
          <w:highlight w:val="none"/>
        </w:rPr>
        <w:t>1.2发包人或承包人在申请缴存农民工工资保证金的当期内，存在发生拖欠问题或被有关部门纳入清欠方面不良行为“黑名单”的情况，加倍缴存的农民工工资保证金由发包人或承包人自行承担。</w:t>
      </w:r>
    </w:p>
    <w:p w14:paraId="2DA1983E">
      <w:pPr>
        <w:spacing w:line="360" w:lineRule="auto"/>
        <w:ind w:firstLine="420" w:firstLineChars="200"/>
        <w:rPr>
          <w:rFonts w:ascii="宋体" w:hAnsi="宋体" w:cs="宋体"/>
          <w:color w:val="auto"/>
          <w:highlight w:val="none"/>
        </w:rPr>
      </w:pPr>
      <w:r>
        <w:rPr>
          <w:rFonts w:hint="eastAsia" w:ascii="宋体" w:hAnsi="宋体" w:cs="宋体"/>
          <w:color w:val="auto"/>
          <w:highlight w:val="none"/>
        </w:rPr>
        <w:t>1.3农民工工资保证金退还</w:t>
      </w:r>
    </w:p>
    <w:p w14:paraId="14FF3A73">
      <w:pPr>
        <w:spacing w:line="360" w:lineRule="auto"/>
        <w:ind w:firstLine="420" w:firstLineChars="200"/>
        <w:rPr>
          <w:rFonts w:ascii="宋体" w:hAnsi="宋体" w:cs="宋体"/>
          <w:color w:val="auto"/>
          <w:highlight w:val="none"/>
        </w:rPr>
      </w:pPr>
      <w:r>
        <w:rPr>
          <w:rFonts w:hint="eastAsia" w:ascii="宋体" w:hAnsi="宋体" w:cs="宋体"/>
          <w:color w:val="auto"/>
          <w:highlight w:val="none"/>
        </w:rPr>
        <w:t>已竣工验收或交付使用后，发包方、承包人互相配合，积极准备相应资料，退还工资保证金本息。</w:t>
      </w:r>
    </w:p>
    <w:p w14:paraId="738E8FCD">
      <w:pPr>
        <w:spacing w:line="360" w:lineRule="auto"/>
        <w:ind w:firstLine="420" w:firstLineChars="200"/>
        <w:rPr>
          <w:rFonts w:ascii="宋体" w:hAnsi="宋体" w:cs="宋体"/>
          <w:color w:val="auto"/>
          <w:highlight w:val="none"/>
        </w:rPr>
      </w:pPr>
      <w:r>
        <w:rPr>
          <w:rFonts w:hint="eastAsia" w:ascii="宋体" w:hAnsi="宋体" w:cs="宋体"/>
          <w:color w:val="auto"/>
          <w:highlight w:val="none"/>
        </w:rPr>
        <w:t>2．实施农民工实名管理制度</w:t>
      </w:r>
    </w:p>
    <w:p w14:paraId="5CDD19B7">
      <w:pPr>
        <w:spacing w:line="360" w:lineRule="auto"/>
        <w:ind w:firstLine="420" w:firstLineChars="200"/>
        <w:rPr>
          <w:rFonts w:ascii="宋体" w:hAnsi="宋体" w:cs="宋体"/>
          <w:color w:val="auto"/>
          <w:highlight w:val="none"/>
        </w:rPr>
      </w:pPr>
      <w:r>
        <w:rPr>
          <w:rFonts w:hint="eastAsia" w:ascii="宋体" w:hAnsi="宋体" w:cs="宋体"/>
          <w:color w:val="auto"/>
          <w:highlight w:val="none"/>
        </w:rPr>
        <w:t>2.1承包人对所承接项目农民工工资支付负总责，配备劳资员。承包人与农民工签订书面劳动合同，建立农民工培训、进出场登记、考勤计量、工资支付等管理台账，实时掌握施工现场用工及工资支付情况。</w:t>
      </w:r>
    </w:p>
    <w:p w14:paraId="2CE63C73">
      <w:pPr>
        <w:spacing w:line="360" w:lineRule="auto"/>
        <w:ind w:firstLine="420" w:firstLineChars="200"/>
        <w:rPr>
          <w:rFonts w:ascii="宋体" w:hAnsi="宋体" w:cs="宋体"/>
          <w:color w:val="auto"/>
          <w:highlight w:val="none"/>
        </w:rPr>
      </w:pPr>
      <w:r>
        <w:rPr>
          <w:rFonts w:hint="eastAsia" w:ascii="宋体" w:hAnsi="宋体" w:cs="宋体"/>
          <w:color w:val="auto"/>
          <w:highlight w:val="none"/>
        </w:rPr>
        <w:t>2.2承包人做好工资发放、信息报送和档案归集等工作，将经农民工本人签字确认的工资支付书面记录保存两年以上备查。</w:t>
      </w:r>
    </w:p>
    <w:p w14:paraId="4801EF57">
      <w:pPr>
        <w:spacing w:line="360" w:lineRule="auto"/>
        <w:ind w:firstLine="420" w:firstLineChars="200"/>
        <w:rPr>
          <w:rFonts w:ascii="宋体" w:hAnsi="宋体" w:cs="宋体"/>
          <w:color w:val="auto"/>
          <w:highlight w:val="none"/>
        </w:rPr>
      </w:pPr>
      <w:r>
        <w:rPr>
          <w:rFonts w:hint="eastAsia" w:ascii="宋体" w:hAnsi="宋体" w:cs="宋体"/>
          <w:color w:val="auto"/>
          <w:highlight w:val="none"/>
        </w:rPr>
        <w:t>3．农民工工资（劳务费）专用账户制度</w:t>
      </w:r>
    </w:p>
    <w:p w14:paraId="3D127512">
      <w:pPr>
        <w:spacing w:line="360" w:lineRule="auto"/>
        <w:ind w:firstLine="420" w:firstLineChars="200"/>
        <w:rPr>
          <w:rFonts w:ascii="宋体" w:hAnsi="宋体" w:cs="宋体"/>
          <w:color w:val="auto"/>
          <w:highlight w:val="none"/>
        </w:rPr>
      </w:pPr>
      <w:r>
        <w:rPr>
          <w:rFonts w:hint="eastAsia" w:ascii="宋体" w:hAnsi="宋体" w:cs="宋体"/>
          <w:color w:val="auto"/>
          <w:highlight w:val="none"/>
        </w:rPr>
        <w:t>3.1 承包人自主选择××银行，在涪陵区开设农民工工资（劳务费）专用账户，一个专用账户下可按项目设立多个子账户。承包人在开设农民工工资专用账户时，与开户银行明确约定开户银行要配合做好农民工工资（劳务费）工资专用账户的相关工作。</w:t>
      </w:r>
    </w:p>
    <w:p w14:paraId="28807358">
      <w:pPr>
        <w:spacing w:line="360" w:lineRule="auto"/>
        <w:ind w:firstLine="420" w:firstLineChars="200"/>
        <w:rPr>
          <w:rFonts w:ascii="宋体" w:hAnsi="宋体" w:cs="宋体"/>
          <w:color w:val="auto"/>
          <w:highlight w:val="none"/>
        </w:rPr>
      </w:pPr>
      <w:r>
        <w:rPr>
          <w:rFonts w:hint="eastAsia" w:ascii="宋体" w:hAnsi="宋体" w:cs="宋体"/>
          <w:color w:val="auto"/>
          <w:highlight w:val="none"/>
        </w:rPr>
        <w:t>3.2承包人在开立农民工工资（劳务费）专用账户时，应先向拟开户行提出预开户申请并取得预开账号，然后告知行业主管部门（建筑市政工程告知涪陵区清理建设领域拖欠工程款工作协调小组办公室，以下简称区清欠办）。承包人持行业主管部门（区清欠办）出具的备案书、开立基本存款账户的全套资料向开户银行提供开户资料并正式开户。</w:t>
      </w:r>
    </w:p>
    <w:p w14:paraId="71B01050">
      <w:pPr>
        <w:spacing w:line="360" w:lineRule="auto"/>
        <w:ind w:firstLine="420" w:firstLineChars="200"/>
        <w:rPr>
          <w:rFonts w:ascii="宋体" w:hAnsi="宋体" w:cs="宋体"/>
          <w:color w:val="auto"/>
          <w:highlight w:val="none"/>
        </w:rPr>
      </w:pPr>
      <w:r>
        <w:rPr>
          <w:rFonts w:hint="eastAsia" w:ascii="宋体" w:hAnsi="宋体" w:cs="宋体"/>
          <w:color w:val="auto"/>
          <w:highlight w:val="none"/>
        </w:rPr>
        <w:t>3.3农民工工资（劳务费）专用账户名称应为《XXX公司农民工工资专用账户》或《XXX公司XX项目农民工工资专用账户》，预留印鉴与账户名称一致。</w:t>
      </w:r>
    </w:p>
    <w:p w14:paraId="0E35509E">
      <w:pPr>
        <w:adjustRightInd w:val="0"/>
        <w:spacing w:line="360" w:lineRule="auto"/>
        <w:ind w:firstLine="420" w:firstLineChars="200"/>
        <w:rPr>
          <w:rFonts w:ascii="宋体" w:hAnsi="宋体" w:cs="宋体"/>
          <w:color w:val="auto"/>
          <w:highlight w:val="none"/>
        </w:rPr>
      </w:pPr>
      <w:r>
        <w:rPr>
          <w:rFonts w:hint="eastAsia" w:ascii="宋体" w:hAnsi="宋体" w:cs="宋体"/>
          <w:color w:val="auto"/>
          <w:highlight w:val="none"/>
        </w:rPr>
        <w:t>3.4发包人应按照合同约定及时确认承包人已完工产值，以不低于当月已完工产值的25%作为当月人工费（工资款），单独拨付至承包人的工资专用账户对应项目中（若人工费数额大于当月已完工产值的25%时，按实际人工费数额拨付；若人工费数额小于当月已完工产值的25%时，按当月已完工产值的25%拨付）。</w:t>
      </w:r>
    </w:p>
    <w:p w14:paraId="2A34F55B">
      <w:pPr>
        <w:spacing w:line="360" w:lineRule="auto"/>
        <w:ind w:firstLine="420" w:firstLineChars="200"/>
        <w:rPr>
          <w:rFonts w:ascii="宋体" w:hAnsi="宋体" w:cs="宋体"/>
          <w:color w:val="auto"/>
          <w:highlight w:val="none"/>
        </w:rPr>
      </w:pPr>
      <w:r>
        <w:rPr>
          <w:rFonts w:hint="eastAsia" w:ascii="宋体" w:hAnsi="宋体" w:cs="宋体"/>
          <w:color w:val="auto"/>
          <w:highlight w:val="none"/>
        </w:rPr>
        <w:t>3.5农民工工资（劳务费）专用账户资金仅用于支付对应项目的农民工工资，不得支现，不得将专用账户资金在企业之间、项目之间互相挪用。</w:t>
      </w:r>
    </w:p>
    <w:p w14:paraId="2C4D2CA6">
      <w:pPr>
        <w:spacing w:line="360" w:lineRule="auto"/>
        <w:ind w:firstLine="420" w:firstLineChars="200"/>
        <w:rPr>
          <w:rFonts w:ascii="宋体" w:hAnsi="宋体" w:cs="宋体"/>
          <w:color w:val="auto"/>
          <w:highlight w:val="none"/>
        </w:rPr>
      </w:pPr>
      <w:r>
        <w:rPr>
          <w:rFonts w:hint="eastAsia" w:ascii="宋体" w:hAnsi="宋体" w:cs="宋体"/>
          <w:color w:val="auto"/>
          <w:highlight w:val="none"/>
        </w:rPr>
        <w:t>4．实行委托银行代发农民工工资制度</w:t>
      </w:r>
    </w:p>
    <w:p w14:paraId="065CFD67">
      <w:pPr>
        <w:spacing w:line="360" w:lineRule="auto"/>
        <w:ind w:firstLine="420" w:firstLineChars="200"/>
        <w:rPr>
          <w:rFonts w:ascii="宋体" w:hAnsi="宋体" w:cs="宋体"/>
          <w:color w:val="auto"/>
          <w:highlight w:val="none"/>
        </w:rPr>
      </w:pPr>
      <w:r>
        <w:rPr>
          <w:rFonts w:hint="eastAsia" w:ascii="宋体" w:hAnsi="宋体" w:cs="宋体"/>
          <w:color w:val="auto"/>
          <w:highlight w:val="none"/>
        </w:rPr>
        <w:t>4.1承包人委托开立农民工工资（劳务费）专用账户的银行代发农民工工资。</w:t>
      </w:r>
    </w:p>
    <w:p w14:paraId="17EB1E34">
      <w:pPr>
        <w:spacing w:line="360" w:lineRule="auto"/>
        <w:ind w:firstLine="420" w:firstLineChars="200"/>
        <w:rPr>
          <w:rFonts w:ascii="宋体" w:hAnsi="宋体" w:cs="宋体"/>
          <w:color w:val="auto"/>
          <w:highlight w:val="none"/>
        </w:rPr>
      </w:pPr>
      <w:r>
        <w:rPr>
          <w:rFonts w:hint="eastAsia" w:ascii="宋体" w:hAnsi="宋体" w:cs="宋体"/>
          <w:color w:val="auto"/>
          <w:highlight w:val="none"/>
        </w:rPr>
        <w:t>4.2办卡。承包人负责在开户银行无偿为项目所用农民工办理工资卡，征求农民工本人意见后开通短信通知业务，并将农民工工资卡交由农民工本人保管和使用。国有投资集团等重点行业（企业）农民工工资发放到社会保障卡加载的银行账户中，农民工本人凭社会保障卡经银行渠道领取。</w:t>
      </w:r>
    </w:p>
    <w:p w14:paraId="5B78EFD0">
      <w:pPr>
        <w:spacing w:line="360" w:lineRule="auto"/>
        <w:ind w:firstLine="420" w:firstLineChars="200"/>
        <w:rPr>
          <w:rFonts w:ascii="宋体" w:hAnsi="宋体" w:cs="宋体"/>
          <w:color w:val="auto"/>
          <w:highlight w:val="none"/>
        </w:rPr>
      </w:pPr>
      <w:r>
        <w:rPr>
          <w:rFonts w:hint="eastAsia" w:ascii="宋体" w:hAnsi="宋体" w:cs="宋体"/>
          <w:color w:val="auto"/>
          <w:highlight w:val="none"/>
        </w:rPr>
        <w:t>4.3备案。承包人将农民工工资卡信息制成农民工工资卡清单或通过施工合同履约管理网络系统，提交至行业主管部门指定的机构备案。</w:t>
      </w:r>
    </w:p>
    <w:p w14:paraId="28AB99EE">
      <w:pPr>
        <w:spacing w:line="360" w:lineRule="auto"/>
        <w:ind w:firstLine="420" w:firstLineChars="200"/>
        <w:rPr>
          <w:rFonts w:ascii="宋体" w:hAnsi="宋体" w:cs="宋体"/>
          <w:color w:val="auto"/>
          <w:highlight w:val="none"/>
        </w:rPr>
      </w:pPr>
      <w:r>
        <w:rPr>
          <w:rFonts w:hint="eastAsia" w:ascii="宋体" w:hAnsi="宋体" w:cs="宋体"/>
          <w:color w:val="auto"/>
          <w:highlight w:val="none"/>
        </w:rPr>
        <w:t>4.4编制工资表。承包人根据与农民工签订的书面劳动合同，按照农民工完成的工程量认真编制当月（期）的《农民工工资明细表》，组织农民工对当月（期）的《农民工工资明细表》签字确认。分包企业编制的《农民工工资明细表》报承包人审核。</w:t>
      </w:r>
    </w:p>
    <w:p w14:paraId="3E087822">
      <w:pPr>
        <w:spacing w:line="360" w:lineRule="auto"/>
        <w:ind w:firstLine="420" w:firstLineChars="200"/>
        <w:rPr>
          <w:rFonts w:ascii="宋体" w:hAnsi="宋体" w:cs="宋体"/>
          <w:color w:val="auto"/>
          <w:highlight w:val="none"/>
        </w:rPr>
      </w:pPr>
      <w:r>
        <w:rPr>
          <w:rFonts w:hint="eastAsia" w:ascii="宋体" w:hAnsi="宋体" w:cs="宋体"/>
          <w:color w:val="auto"/>
          <w:highlight w:val="none"/>
        </w:rPr>
        <w:t>4.5委托银行支付。</w:t>
      </w:r>
    </w:p>
    <w:p w14:paraId="235242D3">
      <w:pPr>
        <w:spacing w:line="360" w:lineRule="auto"/>
        <w:ind w:firstLine="420" w:firstLineChars="200"/>
        <w:rPr>
          <w:rFonts w:ascii="宋体" w:hAnsi="宋体" w:cs="宋体"/>
          <w:color w:val="auto"/>
          <w:highlight w:val="none"/>
        </w:rPr>
      </w:pPr>
      <w:r>
        <w:rPr>
          <w:rFonts w:hint="eastAsia" w:ascii="宋体" w:hAnsi="宋体" w:cs="宋体"/>
          <w:color w:val="auto"/>
          <w:highlight w:val="none"/>
        </w:rPr>
        <w:t>4.5.1承包人向开户银行提供《农民工工资明细表》。若承包人对承接项目依法进行分包的，分包企业必须与承包人签订《农民工工资代发委托书》，分包企业编制《农民工工资明细表》，经农民工签字确认无误后，报承包人审核，由承包人向银行提供《农民工工资明细表》。</w:t>
      </w:r>
    </w:p>
    <w:p w14:paraId="2FD86F4E">
      <w:pPr>
        <w:spacing w:line="360" w:lineRule="auto"/>
        <w:ind w:firstLine="420" w:firstLineChars="200"/>
        <w:rPr>
          <w:rFonts w:ascii="宋体" w:hAnsi="宋体" w:cs="宋体"/>
          <w:color w:val="auto"/>
          <w:highlight w:val="none"/>
        </w:rPr>
      </w:pPr>
      <w:r>
        <w:rPr>
          <w:rFonts w:hint="eastAsia" w:ascii="宋体" w:hAnsi="宋体" w:cs="宋体"/>
          <w:color w:val="auto"/>
          <w:highlight w:val="none"/>
        </w:rPr>
        <w:t>4.5.2由开户银行按《农民工工资明细表》将工资款项存入农民工工资卡账户，同时向承包人和农民工个人反馈工资发放信息。</w:t>
      </w:r>
    </w:p>
    <w:p w14:paraId="362E8D4B">
      <w:pPr>
        <w:spacing w:line="360" w:lineRule="auto"/>
        <w:ind w:firstLine="420" w:firstLineChars="200"/>
        <w:rPr>
          <w:rFonts w:ascii="宋体" w:hAnsi="宋体" w:cs="宋体"/>
          <w:color w:val="auto"/>
          <w:highlight w:val="none"/>
        </w:rPr>
      </w:pPr>
      <w:r>
        <w:rPr>
          <w:rFonts w:hint="eastAsia" w:ascii="宋体" w:hAnsi="宋体" w:cs="宋体"/>
          <w:color w:val="auto"/>
          <w:highlight w:val="none"/>
        </w:rPr>
        <w:t>4.6实行最低月工资支付保障制度。建设工程农民工每月做工工资高于3000元的，每月应按不低于3000元支付，低于3000元（不含3000元）的，每月足额支付民工工资。职工最低月工资标准有政策变动的，建设工程农民工最低月工资支付保障则按政策变动后的标准×2执行。</w:t>
      </w:r>
    </w:p>
    <w:p w14:paraId="2E1EEE05">
      <w:pPr>
        <w:spacing w:line="360" w:lineRule="auto"/>
        <w:ind w:firstLine="420" w:firstLineChars="200"/>
        <w:rPr>
          <w:rFonts w:ascii="宋体" w:hAnsi="宋体" w:cs="宋体"/>
          <w:color w:val="auto"/>
          <w:highlight w:val="none"/>
        </w:rPr>
      </w:pPr>
      <w:r>
        <w:rPr>
          <w:rFonts w:hint="eastAsia" w:ascii="宋体" w:hAnsi="宋体" w:cs="宋体"/>
          <w:color w:val="auto"/>
          <w:highlight w:val="none"/>
        </w:rPr>
        <w:t>4.7零星短期用工（原则上不足一个月的用工）可直接支付现金，或按协议约定发放工资。</w:t>
      </w:r>
    </w:p>
    <w:p w14:paraId="4B8735ED">
      <w:pPr>
        <w:pStyle w:val="6"/>
        <w:spacing w:line="360" w:lineRule="auto"/>
        <w:jc w:val="left"/>
        <w:rPr>
          <w:rFonts w:ascii="宋体" w:hAnsi="宋体" w:cs="宋体"/>
          <w:b/>
          <w:color w:val="auto"/>
          <w:szCs w:val="21"/>
          <w:highlight w:val="none"/>
        </w:rPr>
      </w:pPr>
      <w:r>
        <w:rPr>
          <w:rFonts w:hint="eastAsia" w:ascii="宋体" w:hAnsi="宋体" w:cs="宋体"/>
          <w:b/>
          <w:color w:val="auto"/>
          <w:szCs w:val="21"/>
          <w:highlight w:val="none"/>
        </w:rPr>
        <w:t>20. 争议解决</w:t>
      </w:r>
      <w:bookmarkEnd w:id="1408"/>
    </w:p>
    <w:bookmarkEnd w:id="1393"/>
    <w:bookmarkEnd w:id="1394"/>
    <w:bookmarkEnd w:id="1395"/>
    <w:p w14:paraId="19C71BC6">
      <w:pPr>
        <w:spacing w:line="360" w:lineRule="auto"/>
        <w:rPr>
          <w:rFonts w:ascii="宋体" w:hAnsi="宋体" w:cs="宋体"/>
          <w:color w:val="auto"/>
          <w:szCs w:val="21"/>
          <w:highlight w:val="none"/>
        </w:rPr>
      </w:pPr>
      <w:r>
        <w:rPr>
          <w:rFonts w:hint="eastAsia" w:ascii="宋体" w:hAnsi="宋体" w:cs="宋体"/>
          <w:color w:val="auto"/>
          <w:szCs w:val="21"/>
          <w:highlight w:val="none"/>
        </w:rPr>
        <w:t>20.4仲裁或诉讼</w:t>
      </w:r>
      <w:bookmarkEnd w:id="1396"/>
    </w:p>
    <w:p w14:paraId="3E84A17F">
      <w:pPr>
        <w:spacing w:line="360" w:lineRule="auto"/>
        <w:ind w:firstLine="420" w:firstLineChars="200"/>
        <w:rPr>
          <w:rFonts w:ascii="宋体" w:hAnsi="宋体" w:cs="宋体"/>
          <w:color w:val="auto"/>
          <w:szCs w:val="21"/>
          <w:highlight w:val="none"/>
        </w:rPr>
      </w:pPr>
      <w:r>
        <w:rPr>
          <w:rFonts w:hint="eastAsia" w:ascii="宋体" w:hAnsi="宋体" w:cs="宋体"/>
          <w:color w:val="auto"/>
          <w:szCs w:val="21"/>
          <w:highlight w:val="none"/>
        </w:rPr>
        <w:t>因合同及合同有关事项发生的争议，按下列</w:t>
      </w:r>
      <w:r>
        <w:rPr>
          <w:rFonts w:hint="eastAsia" w:ascii="宋体" w:hAnsi="宋体" w:cs="宋体"/>
          <w:color w:val="auto"/>
          <w:szCs w:val="21"/>
          <w:highlight w:val="none"/>
          <w:u w:val="single"/>
        </w:rPr>
        <w:t xml:space="preserve"> （2） </w:t>
      </w:r>
      <w:r>
        <w:rPr>
          <w:rFonts w:hint="eastAsia" w:ascii="宋体" w:hAnsi="宋体" w:cs="宋体"/>
          <w:color w:val="auto"/>
          <w:szCs w:val="21"/>
          <w:highlight w:val="none"/>
        </w:rPr>
        <w:t xml:space="preserve"> 方式解决：</w:t>
      </w:r>
    </w:p>
    <w:p w14:paraId="6BB13E39">
      <w:pPr>
        <w:spacing w:line="360" w:lineRule="auto"/>
        <w:ind w:firstLine="420" w:firstLineChars="200"/>
        <w:jc w:val="left"/>
        <w:rPr>
          <w:rFonts w:ascii="宋体" w:hAnsi="宋体" w:cs="宋体"/>
          <w:color w:val="auto"/>
          <w:szCs w:val="21"/>
          <w:highlight w:val="none"/>
        </w:rPr>
      </w:pPr>
      <w:r>
        <w:rPr>
          <w:rFonts w:hint="eastAsia" w:ascii="宋体" w:hAnsi="宋体" w:cs="宋体"/>
          <w:color w:val="auto"/>
          <w:szCs w:val="21"/>
          <w:highlight w:val="none"/>
        </w:rPr>
        <w:t xml:space="preserve">（1）向 </w:t>
      </w:r>
      <w:r>
        <w:rPr>
          <w:rFonts w:hint="eastAsia" w:ascii="宋体" w:hAnsi="宋体" w:cs="宋体"/>
          <w:color w:val="auto"/>
          <w:szCs w:val="21"/>
          <w:highlight w:val="none"/>
          <w:u w:val="single"/>
        </w:rPr>
        <w:t xml:space="preserve">         </w:t>
      </w:r>
      <w:r>
        <w:rPr>
          <w:rFonts w:hint="eastAsia" w:ascii="宋体" w:hAnsi="宋体" w:cs="宋体"/>
          <w:color w:val="auto"/>
          <w:szCs w:val="21"/>
          <w:highlight w:val="none"/>
        </w:rPr>
        <w:t xml:space="preserve"> 仲裁委员会申请仲裁；</w:t>
      </w:r>
    </w:p>
    <w:p w14:paraId="22F57390">
      <w:pPr>
        <w:spacing w:line="360" w:lineRule="auto"/>
        <w:ind w:firstLine="420" w:firstLineChars="200"/>
        <w:jc w:val="left"/>
        <w:rPr>
          <w:rFonts w:ascii="宋体" w:hAnsi="宋体" w:cs="宋体"/>
          <w:color w:val="auto"/>
          <w:szCs w:val="21"/>
          <w:highlight w:val="none"/>
        </w:rPr>
      </w:pPr>
      <w:r>
        <w:rPr>
          <w:rFonts w:hint="eastAsia" w:ascii="宋体" w:hAnsi="宋体" w:cs="宋体"/>
          <w:color w:val="auto"/>
          <w:szCs w:val="21"/>
          <w:highlight w:val="none"/>
        </w:rPr>
        <w:t xml:space="preserve">（2）向 </w:t>
      </w:r>
      <w:r>
        <w:rPr>
          <w:rFonts w:hint="eastAsia" w:ascii="宋体" w:hAnsi="宋体" w:cs="宋体"/>
          <w:color w:val="auto"/>
          <w:szCs w:val="21"/>
          <w:highlight w:val="none"/>
          <w:u w:val="single"/>
        </w:rPr>
        <w:t xml:space="preserve"> 涪陵区</w:t>
      </w:r>
      <w:r>
        <w:rPr>
          <w:rFonts w:hint="eastAsia" w:ascii="宋体" w:hAnsi="宋体" w:cs="宋体"/>
          <w:color w:val="auto"/>
          <w:szCs w:val="21"/>
          <w:highlight w:val="none"/>
        </w:rPr>
        <w:t>人民法院起诉。</w:t>
      </w:r>
      <w:bookmarkEnd w:id="1397"/>
      <w:bookmarkEnd w:id="1398"/>
      <w:bookmarkEnd w:id="1399"/>
      <w:bookmarkEnd w:id="1400"/>
      <w:bookmarkEnd w:id="1401"/>
      <w:bookmarkEnd w:id="1402"/>
    </w:p>
    <w:p w14:paraId="5A426460">
      <w:pPr>
        <w:spacing w:line="480" w:lineRule="exact"/>
        <w:rPr>
          <w:rFonts w:ascii="宋体" w:hAnsi="宋体" w:cs="宋体"/>
          <w:b/>
          <w:bCs/>
          <w:color w:val="auto"/>
          <w:szCs w:val="21"/>
          <w:highlight w:val="none"/>
        </w:rPr>
      </w:pPr>
      <w:r>
        <w:rPr>
          <w:rFonts w:hint="eastAsia" w:ascii="宋体" w:hAnsi="宋体" w:cs="宋体"/>
          <w:b/>
          <w:bCs/>
          <w:color w:val="auto"/>
          <w:szCs w:val="21"/>
          <w:highlight w:val="none"/>
        </w:rPr>
        <w:t>21.补充合同条款</w:t>
      </w:r>
    </w:p>
    <w:p w14:paraId="4709E819">
      <w:pPr>
        <w:autoSpaceDE w:val="0"/>
        <w:autoSpaceDN w:val="0"/>
        <w:adjustRightInd w:val="0"/>
        <w:spacing w:line="480" w:lineRule="exact"/>
        <w:rPr>
          <w:rFonts w:ascii="宋体" w:hAnsi="宋体" w:cs="宋体"/>
          <w:color w:val="auto"/>
          <w:szCs w:val="21"/>
          <w:highlight w:val="none"/>
        </w:rPr>
      </w:pPr>
      <w:r>
        <w:rPr>
          <w:rFonts w:hint="eastAsia" w:ascii="宋体" w:hAnsi="宋体" w:cs="宋体"/>
          <w:color w:val="auto"/>
          <w:szCs w:val="21"/>
          <w:highlight w:val="none"/>
        </w:rPr>
        <w:t>21.1 计日工：合同履行期间，</w:t>
      </w:r>
      <w:r>
        <w:rPr>
          <w:rFonts w:hint="eastAsia" w:ascii="宋体" w:hAnsi="宋体" w:cs="宋体"/>
          <w:color w:val="auto"/>
          <w:kern w:val="0"/>
          <w:szCs w:val="21"/>
          <w:highlight w:val="none"/>
        </w:rPr>
        <w:t>需要采用计日工方式实施相应工作的，经发包人同意后，由发包人、监理人、承包人共同签证确认数量。计日工单价杂工按120元/天计，技工按180元/天计。</w:t>
      </w:r>
    </w:p>
    <w:p w14:paraId="6E53CFCF">
      <w:pPr>
        <w:autoSpaceDE w:val="0"/>
        <w:autoSpaceDN w:val="0"/>
        <w:adjustRightInd w:val="0"/>
        <w:spacing w:line="480" w:lineRule="exact"/>
        <w:rPr>
          <w:rFonts w:ascii="宋体" w:hAnsi="宋体" w:cs="宋体"/>
          <w:bCs/>
          <w:color w:val="auto"/>
          <w:szCs w:val="21"/>
          <w:highlight w:val="none"/>
        </w:rPr>
      </w:pPr>
      <w:r>
        <w:rPr>
          <w:rFonts w:hint="eastAsia" w:ascii="宋体" w:hAnsi="宋体" w:cs="宋体"/>
          <w:color w:val="auto"/>
          <w:szCs w:val="21"/>
          <w:highlight w:val="none"/>
        </w:rPr>
        <w:t xml:space="preserve">21.2 </w:t>
      </w:r>
      <w:r>
        <w:rPr>
          <w:rFonts w:hint="eastAsia" w:ascii="宋体" w:hAnsi="宋体" w:cs="宋体"/>
          <w:bCs/>
          <w:color w:val="auto"/>
          <w:szCs w:val="21"/>
          <w:highlight w:val="none"/>
        </w:rPr>
        <w:t>工程结算审计时，承包人报送的结算金额（指送审金额）,第1次审计审减比例超过10%﹝结算金额－第1次审计审定金额）÷结算金额×100%）及以上，由承包人承担本次审计的全部费用（审计费用在工程款中扣除）。</w:t>
      </w:r>
    </w:p>
    <w:p w14:paraId="3992E730">
      <w:pPr>
        <w:autoSpaceDE w:val="0"/>
        <w:autoSpaceDN w:val="0"/>
        <w:adjustRightInd w:val="0"/>
        <w:spacing w:line="480" w:lineRule="exact"/>
        <w:rPr>
          <w:rFonts w:ascii="宋体" w:hAnsi="宋体" w:cs="宋体"/>
          <w:bCs/>
          <w:color w:val="auto"/>
          <w:szCs w:val="21"/>
          <w:highlight w:val="none"/>
        </w:rPr>
      </w:pPr>
      <w:r>
        <w:rPr>
          <w:rFonts w:hint="eastAsia" w:ascii="宋体" w:hAnsi="宋体" w:cs="宋体"/>
          <w:bCs/>
          <w:color w:val="auto"/>
          <w:szCs w:val="21"/>
          <w:highlight w:val="none"/>
        </w:rPr>
        <w:t>21.3 第1次审计审减比例+最终审计审减比例大于等于10%的，由承包人承担本次审计</w:t>
      </w:r>
      <w:r>
        <w:rPr>
          <w:rFonts w:hint="eastAsia" w:ascii="宋体" w:hAnsi="宋体" w:cs="宋体"/>
          <w:bCs/>
          <w:color w:val="auto"/>
          <w:szCs w:val="21"/>
          <w:highlight w:val="none"/>
          <w:lang w:eastAsia="zh-CN"/>
        </w:rPr>
        <w:t>（</w:t>
      </w:r>
      <w:r>
        <w:rPr>
          <w:rFonts w:hint="eastAsia" w:ascii="宋体" w:hAnsi="宋体" w:cs="宋体"/>
          <w:bCs/>
          <w:color w:val="auto"/>
          <w:szCs w:val="21"/>
          <w:highlight w:val="none"/>
          <w:lang w:val="en-US" w:eastAsia="zh-CN"/>
        </w:rPr>
        <w:t>二审</w:t>
      </w:r>
      <w:r>
        <w:rPr>
          <w:rFonts w:hint="eastAsia" w:ascii="宋体" w:hAnsi="宋体" w:cs="宋体"/>
          <w:bCs/>
          <w:color w:val="auto"/>
          <w:szCs w:val="21"/>
          <w:highlight w:val="none"/>
        </w:rPr>
        <w:t>）的全部费用（审计费用在工程款中扣除）。</w:t>
      </w:r>
    </w:p>
    <w:p w14:paraId="58ECBF24">
      <w:pPr>
        <w:spacing w:line="360" w:lineRule="auto"/>
        <w:ind w:firstLine="210" w:firstLineChars="100"/>
        <w:rPr>
          <w:rFonts w:ascii="宋体" w:hAnsi="宋体" w:cs="宋体"/>
          <w:color w:val="auto"/>
          <w:szCs w:val="21"/>
          <w:highlight w:val="none"/>
        </w:rPr>
      </w:pPr>
      <w:r>
        <w:rPr>
          <w:rFonts w:hint="eastAsia" w:ascii="宋体" w:hAnsi="宋体" w:cs="宋体"/>
          <w:color w:val="auto"/>
          <w:szCs w:val="21"/>
          <w:highlight w:val="none"/>
        </w:rPr>
        <w:t>21.4、因承包人原因出现民工集访现象，每次出现一次,发包方有权要求施工单位支付合同价款2%的违约金（从工程款中扣除）。</w:t>
      </w:r>
    </w:p>
    <w:p w14:paraId="73E6E18D">
      <w:pPr>
        <w:spacing w:line="360" w:lineRule="auto"/>
        <w:ind w:firstLine="210" w:firstLineChars="100"/>
        <w:rPr>
          <w:rFonts w:ascii="宋体" w:hAnsi="宋体" w:cs="宋体"/>
          <w:color w:val="auto"/>
          <w:szCs w:val="21"/>
          <w:highlight w:val="none"/>
        </w:rPr>
      </w:pPr>
      <w:r>
        <w:rPr>
          <w:rFonts w:hint="eastAsia" w:ascii="宋体" w:hAnsi="宋体" w:cs="宋体"/>
          <w:color w:val="auto"/>
          <w:szCs w:val="21"/>
          <w:highlight w:val="none"/>
        </w:rPr>
        <w:t>21.5、承包人对发包人或发包人上级单位或有关单位组织的对该工程的检查（巡查或督查等）须予以配合，并按检查（巡查或督查等）要求及时进行整改。未按检查（巡查或督查等）要求及时整改的或整改不符合相关要求的，发包人可按每个问题1000元要求承包方支付违约金（从工程款中扣除）；造成其他损失的，均由承包人全部承担。</w:t>
      </w:r>
    </w:p>
    <w:p w14:paraId="7B390A7B">
      <w:pPr>
        <w:spacing w:line="360" w:lineRule="auto"/>
        <w:ind w:firstLine="210" w:firstLineChars="100"/>
        <w:rPr>
          <w:rFonts w:ascii="宋体" w:hAnsi="宋体"/>
          <w:bCs/>
          <w:color w:val="auto"/>
          <w:szCs w:val="21"/>
          <w:highlight w:val="none"/>
        </w:rPr>
      </w:pPr>
      <w:r>
        <w:rPr>
          <w:rFonts w:hint="eastAsia" w:ascii="宋体" w:hAnsi="宋体"/>
          <w:bCs/>
          <w:color w:val="auto"/>
          <w:szCs w:val="21"/>
          <w:highlight w:val="none"/>
        </w:rPr>
        <w:t>21.6发包人因资金筹措、政策变化或政府决定等导致该项目无法继续实施的，发包人有权终止本合同：1.未开工的，发包人只负责退还承包人缴纳的履约担保金，不承担其他任何责任；2.已开工的，由第三方对已完成部分工程进行结算审核，发包人除根据结算审核结果支付剩余工程款外，不承担其他任何责任。</w:t>
      </w:r>
    </w:p>
    <w:p w14:paraId="3F647CB5">
      <w:pPr>
        <w:pStyle w:val="2"/>
        <w:ind w:firstLine="300" w:firstLineChars="150"/>
        <w:rPr>
          <w:rFonts w:hint="eastAsia" w:ascii="宋体" w:hAnsi="宋体"/>
          <w:color w:val="auto"/>
          <w:kern w:val="2"/>
          <w:sz w:val="21"/>
          <w:szCs w:val="21"/>
          <w:highlight w:val="none"/>
        </w:rPr>
      </w:pPr>
      <w:r>
        <w:rPr>
          <w:rFonts w:hint="eastAsia"/>
          <w:color w:val="auto"/>
          <w:highlight w:val="none"/>
        </w:rPr>
        <w:t>21.7</w:t>
      </w:r>
      <w:r>
        <w:rPr>
          <w:rFonts w:hint="eastAsia" w:ascii="宋体" w:hAnsi="宋体"/>
          <w:color w:val="auto"/>
          <w:kern w:val="2"/>
          <w:sz w:val="21"/>
          <w:szCs w:val="21"/>
          <w:highlight w:val="none"/>
        </w:rPr>
        <w:t>在工程实施过程中，发包人可根据项目实际情况，对</w:t>
      </w:r>
      <w:r>
        <w:rPr>
          <w:rFonts w:hint="eastAsia" w:ascii="宋体" w:hAnsi="宋体"/>
          <w:color w:val="auto"/>
          <w:kern w:val="2"/>
          <w:sz w:val="21"/>
          <w:szCs w:val="21"/>
          <w:highlight w:val="none"/>
          <w:lang w:val="en-US" w:eastAsia="zh-CN"/>
        </w:rPr>
        <w:t>第五层暂估价</w:t>
      </w:r>
      <w:r>
        <w:rPr>
          <w:rFonts w:hint="eastAsia" w:ascii="宋体" w:hAnsi="宋体"/>
          <w:color w:val="auto"/>
          <w:kern w:val="2"/>
          <w:sz w:val="21"/>
          <w:szCs w:val="21"/>
          <w:highlight w:val="none"/>
        </w:rPr>
        <w:t>工程内容</w:t>
      </w:r>
      <w:r>
        <w:rPr>
          <w:rFonts w:hint="eastAsia" w:ascii="宋体" w:hAnsi="宋体"/>
          <w:color w:val="auto"/>
          <w:kern w:val="2"/>
          <w:sz w:val="21"/>
          <w:szCs w:val="21"/>
          <w:highlight w:val="none"/>
          <w:lang w:val="en-US" w:eastAsia="zh-CN"/>
        </w:rPr>
        <w:t>进行调整</w:t>
      </w:r>
      <w:r>
        <w:rPr>
          <w:rFonts w:hint="eastAsia" w:ascii="宋体" w:hAnsi="宋体"/>
          <w:color w:val="auto"/>
          <w:kern w:val="2"/>
          <w:sz w:val="21"/>
          <w:szCs w:val="21"/>
          <w:highlight w:val="none"/>
        </w:rPr>
        <w:t>，承包人须按发包人要求进行施工，且不得因为</w:t>
      </w:r>
      <w:r>
        <w:rPr>
          <w:rFonts w:hint="eastAsia" w:ascii="宋体" w:hAnsi="宋体"/>
          <w:color w:val="auto"/>
          <w:kern w:val="2"/>
          <w:sz w:val="21"/>
          <w:szCs w:val="21"/>
          <w:highlight w:val="none"/>
          <w:lang w:val="en-US" w:eastAsia="zh-CN"/>
        </w:rPr>
        <w:t>甩项</w:t>
      </w:r>
      <w:r>
        <w:rPr>
          <w:rFonts w:hint="eastAsia" w:ascii="宋体" w:hAnsi="宋体"/>
          <w:color w:val="auto"/>
          <w:kern w:val="2"/>
          <w:sz w:val="21"/>
          <w:szCs w:val="21"/>
          <w:highlight w:val="none"/>
        </w:rPr>
        <w:t>向发包人进行索赔。</w:t>
      </w:r>
    </w:p>
    <w:p w14:paraId="5424FCC5">
      <w:pPr>
        <w:rPr>
          <w:rFonts w:hint="eastAsia" w:ascii="宋体" w:hAnsi="宋体"/>
          <w:color w:val="auto"/>
          <w:kern w:val="2"/>
          <w:sz w:val="21"/>
          <w:szCs w:val="21"/>
          <w:highlight w:val="none"/>
          <w:lang w:val="en-US" w:eastAsia="zh-CN"/>
        </w:rPr>
      </w:pPr>
      <w:r>
        <w:rPr>
          <w:rFonts w:hint="eastAsia" w:ascii="宋体" w:hAnsi="宋体"/>
          <w:color w:val="auto"/>
          <w:kern w:val="2"/>
          <w:sz w:val="21"/>
          <w:szCs w:val="21"/>
          <w:highlight w:val="none"/>
          <w:lang w:val="en-US" w:eastAsia="zh-CN"/>
        </w:rPr>
        <w:t xml:space="preserve">   21.8在施工过程中，承包人无条件配合使用方设备进场安装工作，且不得因此产生任何费用。</w:t>
      </w:r>
    </w:p>
    <w:p w14:paraId="626989B5">
      <w:pPr>
        <w:rPr>
          <w:rFonts w:hint="eastAsia" w:ascii="宋体" w:hAnsi="宋体"/>
          <w:color w:val="auto"/>
          <w:kern w:val="2"/>
          <w:sz w:val="21"/>
          <w:szCs w:val="21"/>
          <w:highlight w:val="none"/>
          <w:lang w:val="en-US" w:eastAsia="zh-CN"/>
        </w:rPr>
      </w:pPr>
    </w:p>
    <w:p w14:paraId="254E16B1">
      <w:pPr>
        <w:rPr>
          <w:rFonts w:hint="eastAsia" w:ascii="宋体" w:hAnsi="宋体"/>
          <w:color w:val="auto"/>
          <w:kern w:val="2"/>
          <w:sz w:val="21"/>
          <w:szCs w:val="21"/>
          <w:highlight w:val="none"/>
          <w:lang w:val="en-US" w:eastAsia="zh-CN"/>
        </w:rPr>
      </w:pPr>
    </w:p>
    <w:p w14:paraId="35B20CE9">
      <w:pPr>
        <w:rPr>
          <w:rFonts w:hint="eastAsia" w:ascii="宋体" w:hAnsi="宋体"/>
          <w:color w:val="auto"/>
          <w:kern w:val="2"/>
          <w:sz w:val="21"/>
          <w:szCs w:val="21"/>
          <w:highlight w:val="none"/>
          <w:lang w:val="en-US" w:eastAsia="zh-CN"/>
        </w:rPr>
      </w:pPr>
    </w:p>
    <w:p w14:paraId="2AE5D779">
      <w:pPr>
        <w:rPr>
          <w:rFonts w:hint="eastAsia" w:ascii="宋体" w:hAnsi="宋体"/>
          <w:color w:val="auto"/>
          <w:kern w:val="2"/>
          <w:sz w:val="21"/>
          <w:szCs w:val="21"/>
          <w:highlight w:val="none"/>
          <w:lang w:val="en-US" w:eastAsia="zh-CN"/>
        </w:rPr>
      </w:pPr>
    </w:p>
    <w:p w14:paraId="62C707C2">
      <w:pPr>
        <w:rPr>
          <w:rFonts w:hint="eastAsia" w:ascii="宋体" w:hAnsi="宋体"/>
          <w:color w:val="auto"/>
          <w:kern w:val="2"/>
          <w:sz w:val="21"/>
          <w:szCs w:val="21"/>
          <w:highlight w:val="none"/>
          <w:lang w:val="en-US" w:eastAsia="zh-CN"/>
        </w:rPr>
      </w:pPr>
    </w:p>
    <w:p w14:paraId="4F64B0CD">
      <w:pPr>
        <w:rPr>
          <w:rFonts w:hint="default" w:ascii="宋体" w:hAnsi="宋体"/>
          <w:color w:val="auto"/>
          <w:kern w:val="2"/>
          <w:sz w:val="21"/>
          <w:szCs w:val="21"/>
          <w:highlight w:val="none"/>
          <w:lang w:val="en-US" w:eastAsia="zh-CN"/>
        </w:rPr>
      </w:pPr>
    </w:p>
    <w:p w14:paraId="61B52188">
      <w:pPr>
        <w:spacing w:line="360" w:lineRule="auto"/>
        <w:rPr>
          <w:rFonts w:ascii="宋体" w:hAnsi="宋体" w:cs="宋体"/>
          <w:color w:val="auto"/>
          <w:szCs w:val="21"/>
          <w:highlight w:val="none"/>
        </w:rPr>
      </w:pPr>
      <w:r>
        <w:rPr>
          <w:rFonts w:hint="eastAsia" w:ascii="宋体" w:hAnsi="宋体" w:cs="宋体"/>
          <w:b/>
          <w:bCs/>
          <w:color w:val="auto"/>
          <w:szCs w:val="21"/>
          <w:highlight w:val="none"/>
        </w:rPr>
        <w:t>22.合同附件</w:t>
      </w:r>
    </w:p>
    <w:p w14:paraId="24E03814">
      <w:pPr>
        <w:spacing w:line="360" w:lineRule="auto"/>
        <w:rPr>
          <w:rFonts w:ascii="宋体" w:hAnsi="宋体" w:cs="宋体"/>
          <w:color w:val="auto"/>
          <w:szCs w:val="21"/>
          <w:highlight w:val="none"/>
        </w:rPr>
      </w:pPr>
      <w:r>
        <w:rPr>
          <w:rFonts w:hint="eastAsia" w:ascii="宋体" w:hAnsi="宋体" w:cs="宋体"/>
          <w:color w:val="auto"/>
          <w:szCs w:val="21"/>
          <w:highlight w:val="none"/>
        </w:rPr>
        <w:t>附件1：工程质量保修书</w:t>
      </w:r>
    </w:p>
    <w:p w14:paraId="7B0B0811">
      <w:pPr>
        <w:spacing w:line="360" w:lineRule="auto"/>
        <w:rPr>
          <w:rFonts w:ascii="宋体" w:hAnsi="宋体" w:cs="宋体"/>
          <w:color w:val="auto"/>
          <w:szCs w:val="21"/>
          <w:highlight w:val="none"/>
        </w:rPr>
      </w:pPr>
      <w:r>
        <w:rPr>
          <w:rFonts w:hint="eastAsia" w:ascii="宋体" w:hAnsi="宋体" w:cs="宋体"/>
          <w:color w:val="auto"/>
          <w:szCs w:val="21"/>
          <w:highlight w:val="none"/>
        </w:rPr>
        <w:t>附件2：廉政协议书</w:t>
      </w:r>
    </w:p>
    <w:p w14:paraId="6894BB58">
      <w:pPr>
        <w:autoSpaceDE w:val="0"/>
        <w:autoSpaceDN w:val="0"/>
        <w:adjustRightInd w:val="0"/>
        <w:spacing w:line="360" w:lineRule="auto"/>
        <w:rPr>
          <w:rFonts w:ascii="宋体" w:hAnsi="宋体" w:cs="宋体"/>
          <w:color w:val="auto"/>
          <w:szCs w:val="21"/>
          <w:highlight w:val="none"/>
        </w:rPr>
      </w:pPr>
      <w:r>
        <w:rPr>
          <w:rFonts w:hint="eastAsia" w:ascii="宋体" w:hAnsi="宋体" w:cs="宋体"/>
          <w:color w:val="auto"/>
          <w:szCs w:val="21"/>
          <w:highlight w:val="none"/>
        </w:rPr>
        <w:t>附件3：安全生产合同书</w:t>
      </w:r>
    </w:p>
    <w:p w14:paraId="16241CEE">
      <w:pPr>
        <w:tabs>
          <w:tab w:val="left" w:pos="390"/>
        </w:tabs>
        <w:spacing w:line="360" w:lineRule="auto"/>
        <w:ind w:right="105" w:rightChars="50"/>
        <w:jc w:val="left"/>
        <w:rPr>
          <w:rFonts w:ascii="宋体" w:hAnsi="宋体"/>
          <w:color w:val="auto"/>
          <w:szCs w:val="21"/>
          <w:highlight w:val="none"/>
        </w:rPr>
      </w:pPr>
      <w:r>
        <w:rPr>
          <w:rFonts w:hint="eastAsia" w:ascii="宋体" w:hAnsi="宋体"/>
          <w:color w:val="auto"/>
          <w:szCs w:val="21"/>
          <w:highlight w:val="none"/>
        </w:rPr>
        <w:t>附件4：安全管理协议</w:t>
      </w:r>
    </w:p>
    <w:p w14:paraId="2965043F">
      <w:pPr>
        <w:spacing w:line="360" w:lineRule="auto"/>
        <w:ind w:right="105" w:rightChars="50"/>
        <w:jc w:val="left"/>
        <w:rPr>
          <w:rFonts w:hint="eastAsia" w:ascii="宋体" w:hAnsi="宋体"/>
          <w:color w:val="auto"/>
          <w:szCs w:val="21"/>
          <w:highlight w:val="none"/>
        </w:rPr>
      </w:pPr>
      <w:r>
        <w:rPr>
          <w:rFonts w:hint="eastAsia" w:ascii="宋体" w:hAnsi="宋体"/>
          <w:color w:val="auto"/>
          <w:szCs w:val="21"/>
          <w:highlight w:val="none"/>
        </w:rPr>
        <w:t>附件5：保障农民工工资支付协议</w:t>
      </w:r>
    </w:p>
    <w:p w14:paraId="23847CFB">
      <w:pPr>
        <w:pStyle w:val="2"/>
        <w:rPr>
          <w:rFonts w:hint="eastAsia"/>
          <w:color w:val="auto"/>
          <w:highlight w:val="none"/>
          <w:lang w:eastAsia="zh-CN"/>
        </w:rPr>
      </w:pPr>
      <w:r>
        <w:rPr>
          <w:rFonts w:hint="eastAsia"/>
          <w:color w:val="auto"/>
          <w:highlight w:val="none"/>
        </w:rPr>
        <w:t>附件</w:t>
      </w:r>
      <w:r>
        <w:rPr>
          <w:rFonts w:hint="eastAsia"/>
          <w:color w:val="auto"/>
          <w:highlight w:val="none"/>
          <w:lang w:val="en-US" w:eastAsia="zh-CN"/>
        </w:rPr>
        <w:t>6</w:t>
      </w:r>
      <w:r>
        <w:rPr>
          <w:rFonts w:hint="eastAsia"/>
          <w:color w:val="auto"/>
          <w:highlight w:val="none"/>
        </w:rPr>
        <w:t xml:space="preserve"> </w:t>
      </w:r>
      <w:r>
        <w:rPr>
          <w:rFonts w:hint="eastAsia"/>
          <w:color w:val="auto"/>
          <w:highlight w:val="none"/>
          <w:lang w:eastAsia="zh-CN"/>
        </w:rPr>
        <w:t>履约担保</w:t>
      </w:r>
    </w:p>
    <w:p w14:paraId="080ACAAA">
      <w:pPr>
        <w:rPr>
          <w:color w:val="auto"/>
          <w:highlight w:val="none"/>
        </w:rPr>
      </w:pPr>
      <w:r>
        <w:rPr>
          <w:rFonts w:hint="eastAsia"/>
          <w:color w:val="auto"/>
          <w:highlight w:val="none"/>
        </w:rPr>
        <w:t>附件</w:t>
      </w:r>
      <w:r>
        <w:rPr>
          <w:rFonts w:hint="eastAsia"/>
          <w:color w:val="auto"/>
          <w:highlight w:val="none"/>
          <w:lang w:val="en-US" w:eastAsia="zh-CN"/>
        </w:rPr>
        <w:t>7</w:t>
      </w:r>
      <w:r>
        <w:rPr>
          <w:rFonts w:hint="eastAsia"/>
          <w:color w:val="auto"/>
          <w:highlight w:val="none"/>
        </w:rPr>
        <w:t xml:space="preserve"> </w:t>
      </w:r>
      <w:r>
        <w:rPr>
          <w:rFonts w:hint="eastAsia"/>
          <w:color w:val="auto"/>
          <w:highlight w:val="none"/>
          <w:lang w:eastAsia="zh-CN"/>
        </w:rPr>
        <w:t>质量保证金保函</w:t>
      </w:r>
    </w:p>
    <w:p w14:paraId="320898B2">
      <w:pPr>
        <w:spacing w:line="360" w:lineRule="auto"/>
        <w:ind w:right="105" w:rightChars="50"/>
        <w:jc w:val="left"/>
        <w:rPr>
          <w:rFonts w:ascii="宋体" w:hAnsi="宋体"/>
          <w:color w:val="auto"/>
          <w:szCs w:val="21"/>
          <w:highlight w:val="none"/>
        </w:rPr>
      </w:pPr>
    </w:p>
    <w:p w14:paraId="147E8AA8">
      <w:pPr>
        <w:pStyle w:val="46"/>
        <w:ind w:firstLine="0" w:firstLineChars="0"/>
        <w:rPr>
          <w:color w:val="auto"/>
          <w:highlight w:val="none"/>
        </w:rPr>
      </w:pPr>
    </w:p>
    <w:p w14:paraId="7EB84E54">
      <w:pPr>
        <w:spacing w:line="360" w:lineRule="auto"/>
        <w:rPr>
          <w:rFonts w:ascii="宋体" w:hAnsi="宋体" w:cs="宋体"/>
          <w:color w:val="auto"/>
          <w:szCs w:val="21"/>
          <w:highlight w:val="none"/>
        </w:rPr>
      </w:pPr>
      <w:r>
        <w:rPr>
          <w:rFonts w:hint="eastAsia" w:ascii="宋体" w:hAnsi="宋体" w:cs="宋体"/>
          <w:color w:val="auto"/>
          <w:szCs w:val="21"/>
          <w:highlight w:val="none"/>
        </w:rPr>
        <w:t>附</w:t>
      </w:r>
      <w:bookmarkStart w:id="1409" w:name="_Toc296346727"/>
      <w:bookmarkStart w:id="1410" w:name="_Toc296891054"/>
      <w:bookmarkStart w:id="1411" w:name="_Toc296347225"/>
      <w:bookmarkStart w:id="1412" w:name="_Toc296891266"/>
      <w:bookmarkStart w:id="1413" w:name="_Toc296944565"/>
      <w:bookmarkStart w:id="1414" w:name="_Toc296503226"/>
      <w:bookmarkStart w:id="1415" w:name="_Toc267261693"/>
      <w:r>
        <w:rPr>
          <w:rFonts w:hint="eastAsia" w:ascii="宋体" w:hAnsi="宋体" w:cs="宋体"/>
          <w:color w:val="auto"/>
          <w:szCs w:val="21"/>
          <w:highlight w:val="none"/>
        </w:rPr>
        <w:t>件1：</w:t>
      </w:r>
      <w:bookmarkEnd w:id="1409"/>
      <w:bookmarkEnd w:id="1410"/>
      <w:bookmarkEnd w:id="1411"/>
      <w:bookmarkEnd w:id="1412"/>
      <w:bookmarkEnd w:id="1413"/>
      <w:bookmarkEnd w:id="1414"/>
      <w:bookmarkEnd w:id="1415"/>
      <w:r>
        <w:rPr>
          <w:rFonts w:hint="eastAsia" w:ascii="宋体" w:hAnsi="宋体" w:cs="宋体"/>
          <w:color w:val="auto"/>
          <w:szCs w:val="21"/>
          <w:highlight w:val="none"/>
        </w:rPr>
        <w:t xml:space="preserve"> </w:t>
      </w:r>
    </w:p>
    <w:p w14:paraId="35199D37">
      <w:pPr>
        <w:pStyle w:val="5"/>
        <w:jc w:val="center"/>
        <w:rPr>
          <w:color w:val="auto"/>
          <w:szCs w:val="21"/>
          <w:highlight w:val="none"/>
        </w:rPr>
      </w:pPr>
      <w:r>
        <w:rPr>
          <w:rFonts w:hint="eastAsia" w:ascii="宋体" w:hAnsi="宋体" w:cs="宋体"/>
          <w:color w:val="auto"/>
          <w:szCs w:val="21"/>
          <w:highlight w:val="none"/>
        </w:rPr>
        <w:t xml:space="preserve"> </w:t>
      </w:r>
      <w:r>
        <w:rPr>
          <w:rFonts w:hint="eastAsia" w:ascii="宋体" w:hAnsi="宋体" w:eastAsia="宋体" w:cs="宋体"/>
          <w:color w:val="auto"/>
          <w:highlight w:val="none"/>
        </w:rPr>
        <w:t>工程质量保修书</w:t>
      </w:r>
    </w:p>
    <w:p w14:paraId="5DF58871">
      <w:pPr>
        <w:spacing w:line="480" w:lineRule="auto"/>
        <w:ind w:left="420"/>
        <w:rPr>
          <w:rFonts w:ascii="宋体" w:hAnsi="宋体" w:cs="宋体"/>
          <w:color w:val="auto"/>
          <w:szCs w:val="21"/>
          <w:highlight w:val="none"/>
        </w:rPr>
      </w:pPr>
      <w:r>
        <w:rPr>
          <w:rFonts w:hint="eastAsia" w:ascii="宋体" w:hAnsi="宋体" w:cs="宋体"/>
          <w:color w:val="auto"/>
          <w:szCs w:val="21"/>
          <w:highlight w:val="none"/>
        </w:rPr>
        <w:t>发包人（全称）：</w:t>
      </w:r>
      <w:r>
        <w:rPr>
          <w:rFonts w:hint="eastAsia" w:ascii="宋体" w:hAnsi="宋体" w:cs="宋体"/>
          <w:color w:val="auto"/>
          <w:szCs w:val="21"/>
          <w:highlight w:val="none"/>
          <w:u w:val="single"/>
        </w:rPr>
        <w:t xml:space="preserve">                                </w:t>
      </w:r>
    </w:p>
    <w:p w14:paraId="6A93E921">
      <w:pPr>
        <w:spacing w:line="480" w:lineRule="auto"/>
        <w:rPr>
          <w:rFonts w:ascii="宋体" w:hAnsi="宋体" w:cs="宋体"/>
          <w:color w:val="auto"/>
          <w:szCs w:val="21"/>
          <w:highlight w:val="none"/>
        </w:rPr>
      </w:pPr>
      <w:r>
        <w:rPr>
          <w:rFonts w:hint="eastAsia" w:ascii="宋体" w:hAnsi="宋体" w:cs="宋体"/>
          <w:color w:val="auto"/>
          <w:szCs w:val="21"/>
          <w:highlight w:val="none"/>
        </w:rPr>
        <w:t>　　承包人（全称）：</w:t>
      </w:r>
      <w:r>
        <w:rPr>
          <w:rFonts w:hint="eastAsia" w:ascii="宋体" w:hAnsi="宋体" w:cs="宋体"/>
          <w:color w:val="auto"/>
          <w:szCs w:val="21"/>
          <w:highlight w:val="none"/>
          <w:u w:val="single"/>
        </w:rPr>
        <w:t xml:space="preserve">                                </w:t>
      </w:r>
    </w:p>
    <w:p w14:paraId="335DDC90">
      <w:pPr>
        <w:spacing w:line="480" w:lineRule="auto"/>
        <w:ind w:firstLine="420" w:firstLineChars="200"/>
        <w:rPr>
          <w:rFonts w:ascii="宋体" w:hAnsi="宋体" w:cs="宋体"/>
          <w:color w:val="auto"/>
          <w:kern w:val="0"/>
          <w:szCs w:val="21"/>
          <w:highlight w:val="none"/>
        </w:rPr>
      </w:pPr>
      <w:r>
        <w:rPr>
          <w:rFonts w:hint="eastAsia" w:ascii="宋体" w:hAnsi="宋体"/>
          <w:color w:val="auto"/>
          <w:szCs w:val="21"/>
          <w:highlight w:val="none"/>
        </w:rPr>
        <w:t>发包人和承包人根据《中华人民共和国建筑法》和《建设工程质量管理条例》，</w:t>
      </w:r>
      <w:r>
        <w:rPr>
          <w:rFonts w:hint="eastAsia" w:ascii="宋体" w:hAnsi="宋体" w:cs="宋体"/>
          <w:color w:val="auto"/>
          <w:kern w:val="0"/>
          <w:szCs w:val="21"/>
          <w:highlight w:val="none"/>
        </w:rPr>
        <w:t>经发包人、承包人协商一致就</w:t>
      </w:r>
      <w:r>
        <w:rPr>
          <w:rFonts w:hint="eastAsia" w:ascii="宋体" w:hAnsi="宋体" w:cs="宋体"/>
          <w:color w:val="auto"/>
          <w:kern w:val="0"/>
          <w:szCs w:val="21"/>
          <w:highlight w:val="none"/>
          <w:u w:val="single"/>
        </w:rPr>
        <w:t xml:space="preserve">            </w:t>
      </w:r>
      <w:r>
        <w:rPr>
          <w:rFonts w:hint="eastAsia" w:ascii="宋体" w:hAnsi="宋体" w:cs="宋体"/>
          <w:color w:val="auto"/>
          <w:kern w:val="0"/>
          <w:szCs w:val="21"/>
          <w:highlight w:val="none"/>
        </w:rPr>
        <w:t>（工程全称）签订本工程质量保修书。</w:t>
      </w:r>
    </w:p>
    <w:p w14:paraId="354A816E">
      <w:pPr>
        <w:spacing w:line="480" w:lineRule="auto"/>
        <w:ind w:firstLine="420" w:firstLineChars="200"/>
        <w:rPr>
          <w:rFonts w:ascii="宋体" w:hAnsi="宋体" w:cs="宋体"/>
          <w:color w:val="auto"/>
          <w:kern w:val="0"/>
          <w:szCs w:val="21"/>
          <w:highlight w:val="none"/>
        </w:rPr>
      </w:pPr>
      <w:r>
        <w:rPr>
          <w:rFonts w:hint="eastAsia" w:ascii="宋体" w:hAnsi="宋体" w:cs="宋体"/>
          <w:color w:val="auto"/>
          <w:kern w:val="0"/>
          <w:szCs w:val="21"/>
          <w:highlight w:val="none"/>
        </w:rPr>
        <w:t xml:space="preserve">一、工程质量保修范围和内容 </w:t>
      </w:r>
    </w:p>
    <w:p w14:paraId="171003CC">
      <w:pPr>
        <w:spacing w:line="480" w:lineRule="auto"/>
        <w:ind w:firstLine="420" w:firstLineChars="200"/>
        <w:rPr>
          <w:rFonts w:ascii="宋体" w:hAnsi="宋体" w:cs="宋体"/>
          <w:b/>
          <w:color w:val="auto"/>
          <w:kern w:val="0"/>
          <w:szCs w:val="21"/>
          <w:highlight w:val="none"/>
          <w:u w:val="single"/>
        </w:rPr>
      </w:pPr>
      <w:r>
        <w:rPr>
          <w:rFonts w:hint="eastAsia" w:ascii="宋体" w:hAnsi="宋体" w:cs="宋体"/>
          <w:color w:val="auto"/>
          <w:kern w:val="0"/>
          <w:szCs w:val="21"/>
          <w:highlight w:val="none"/>
        </w:rPr>
        <w:t>　　具体质量保修内容双方约定如下：</w:t>
      </w:r>
      <w:r>
        <w:rPr>
          <w:rFonts w:hint="eastAsia" w:ascii="宋体" w:hAnsi="宋体" w:cs="宋体"/>
          <w:color w:val="auto"/>
          <w:kern w:val="0"/>
          <w:szCs w:val="21"/>
          <w:highlight w:val="none"/>
          <w:u w:val="single"/>
        </w:rPr>
        <w:t xml:space="preserve"> </w:t>
      </w:r>
      <w:r>
        <w:rPr>
          <w:rFonts w:hint="eastAsia" w:ascii="宋体" w:hAnsi="宋体" w:cs="宋体"/>
          <w:b/>
          <w:color w:val="auto"/>
          <w:kern w:val="0"/>
          <w:szCs w:val="21"/>
          <w:highlight w:val="none"/>
          <w:u w:val="single"/>
        </w:rPr>
        <w:t>承包方所承包施工的全部工程内容。</w:t>
      </w:r>
    </w:p>
    <w:p w14:paraId="3A157CAE">
      <w:pPr>
        <w:spacing w:line="480" w:lineRule="auto"/>
        <w:ind w:firstLine="420" w:firstLineChars="200"/>
        <w:rPr>
          <w:rFonts w:ascii="宋体" w:hAnsi="宋体" w:cs="宋体"/>
          <w:color w:val="auto"/>
          <w:kern w:val="0"/>
          <w:szCs w:val="21"/>
          <w:highlight w:val="none"/>
        </w:rPr>
      </w:pPr>
      <w:r>
        <w:rPr>
          <w:rFonts w:hint="eastAsia" w:ascii="宋体" w:hAnsi="宋体" w:cs="宋体"/>
          <w:color w:val="auto"/>
          <w:kern w:val="0"/>
          <w:szCs w:val="21"/>
          <w:highlight w:val="none"/>
        </w:rPr>
        <w:t xml:space="preserve">    二、质量保修期 </w:t>
      </w:r>
    </w:p>
    <w:p w14:paraId="458721E7">
      <w:pPr>
        <w:spacing w:line="480" w:lineRule="auto"/>
        <w:ind w:firstLine="420" w:firstLineChars="200"/>
        <w:rPr>
          <w:rFonts w:ascii="宋体" w:hAnsi="宋体" w:cs="宋体"/>
          <w:color w:val="auto"/>
          <w:kern w:val="0"/>
          <w:szCs w:val="21"/>
          <w:highlight w:val="none"/>
        </w:rPr>
      </w:pPr>
      <w:r>
        <w:rPr>
          <w:rFonts w:hint="eastAsia" w:ascii="宋体" w:hAnsi="宋体" w:cs="宋体"/>
          <w:color w:val="auto"/>
          <w:kern w:val="0"/>
          <w:szCs w:val="21"/>
          <w:highlight w:val="none"/>
        </w:rPr>
        <w:t xml:space="preserve">　　质量保修期从工程实际竣工验收合格之日算起。分单项竣工验收的工程，按总工程验收合格之日起计算质量保修期。 </w:t>
      </w:r>
    </w:p>
    <w:p w14:paraId="666D955D">
      <w:pPr>
        <w:spacing w:line="480" w:lineRule="auto"/>
        <w:ind w:firstLine="420" w:firstLineChars="200"/>
        <w:rPr>
          <w:rFonts w:ascii="宋体" w:hAnsi="宋体" w:cs="宋体"/>
          <w:color w:val="auto"/>
          <w:kern w:val="0"/>
          <w:szCs w:val="21"/>
          <w:highlight w:val="none"/>
        </w:rPr>
      </w:pPr>
      <w:r>
        <w:rPr>
          <w:rFonts w:hint="eastAsia" w:ascii="宋体" w:hAnsi="宋体" w:cs="宋体"/>
          <w:color w:val="auto"/>
          <w:kern w:val="0"/>
          <w:szCs w:val="21"/>
          <w:highlight w:val="none"/>
        </w:rPr>
        <w:t xml:space="preserve">　　双方根据国家有关规定，结合具体工程约定质量保修期如下： </w:t>
      </w:r>
    </w:p>
    <w:p w14:paraId="3B069DCF">
      <w:pPr>
        <w:spacing w:line="480" w:lineRule="auto"/>
        <w:ind w:firstLine="420" w:firstLineChars="200"/>
        <w:rPr>
          <w:rFonts w:ascii="宋体" w:hAnsi="宋体" w:cs="宋体"/>
          <w:color w:val="auto"/>
          <w:kern w:val="0"/>
          <w:szCs w:val="21"/>
          <w:highlight w:val="none"/>
        </w:rPr>
      </w:pPr>
      <w:r>
        <w:rPr>
          <w:rFonts w:hint="eastAsia" w:ascii="宋体" w:hAnsi="宋体" w:cs="宋体"/>
          <w:color w:val="auto"/>
          <w:kern w:val="0"/>
          <w:szCs w:val="21"/>
          <w:highlight w:val="none"/>
        </w:rPr>
        <w:t>　　施工承包范围内的全部施工内容，保修期为</w:t>
      </w:r>
      <w:r>
        <w:rPr>
          <w:rFonts w:hint="eastAsia" w:ascii="宋体" w:hAnsi="宋体" w:cs="宋体"/>
          <w:b/>
          <w:color w:val="auto"/>
          <w:kern w:val="0"/>
          <w:szCs w:val="21"/>
          <w:highlight w:val="none"/>
          <w:u w:val="single"/>
        </w:rPr>
        <w:t xml:space="preserve">贰 </w:t>
      </w:r>
      <w:r>
        <w:rPr>
          <w:rFonts w:hint="eastAsia" w:ascii="宋体" w:hAnsi="宋体" w:cs="宋体"/>
          <w:color w:val="auto"/>
          <w:kern w:val="0"/>
          <w:szCs w:val="21"/>
          <w:highlight w:val="none"/>
        </w:rPr>
        <w:t>年（从工程验收合格之日起算）；其他约定：</w:t>
      </w:r>
      <w:r>
        <w:rPr>
          <w:rFonts w:hint="eastAsia" w:ascii="宋体" w:hAnsi="宋体" w:cs="宋体"/>
          <w:b/>
          <w:color w:val="auto"/>
          <w:kern w:val="0"/>
          <w:szCs w:val="21"/>
          <w:highlight w:val="none"/>
          <w:u w:val="single"/>
        </w:rPr>
        <w:t xml:space="preserve"> 无。 </w:t>
      </w:r>
      <w:r>
        <w:rPr>
          <w:rFonts w:hint="eastAsia" w:ascii="宋体" w:hAnsi="宋体" w:cs="宋体"/>
          <w:color w:val="auto"/>
          <w:kern w:val="0"/>
          <w:szCs w:val="21"/>
          <w:highlight w:val="none"/>
        </w:rPr>
        <w:t xml:space="preserve">    </w:t>
      </w:r>
    </w:p>
    <w:p w14:paraId="0447EE27">
      <w:pPr>
        <w:adjustRightInd w:val="0"/>
        <w:snapToGrid w:val="0"/>
        <w:spacing w:line="480" w:lineRule="auto"/>
        <w:ind w:firstLine="270"/>
        <w:jc w:val="left"/>
        <w:rPr>
          <w:rFonts w:ascii="宋体" w:hAnsi="宋体" w:cs="宋体"/>
          <w:color w:val="auto"/>
          <w:kern w:val="0"/>
          <w:szCs w:val="21"/>
          <w:highlight w:val="none"/>
        </w:rPr>
      </w:pPr>
      <w:r>
        <w:rPr>
          <w:rFonts w:hint="eastAsia" w:ascii="宋体" w:hAnsi="宋体" w:cs="宋体"/>
          <w:color w:val="auto"/>
          <w:kern w:val="0"/>
          <w:szCs w:val="21"/>
          <w:highlight w:val="none"/>
        </w:rPr>
        <w:t xml:space="preserve"> 三、质量保修责任 </w:t>
      </w:r>
    </w:p>
    <w:p w14:paraId="4BBF9BB5">
      <w:pPr>
        <w:adjustRightInd w:val="0"/>
        <w:snapToGrid w:val="0"/>
        <w:spacing w:line="480" w:lineRule="auto"/>
        <w:ind w:firstLine="270"/>
        <w:jc w:val="left"/>
        <w:rPr>
          <w:rFonts w:ascii="宋体" w:hAnsi="宋体" w:cs="宋体"/>
          <w:color w:val="auto"/>
          <w:kern w:val="0"/>
          <w:szCs w:val="21"/>
          <w:highlight w:val="none"/>
        </w:rPr>
      </w:pPr>
      <w:r>
        <w:rPr>
          <w:rFonts w:hint="eastAsia" w:ascii="宋体" w:hAnsi="宋体" w:cs="宋体"/>
          <w:color w:val="auto"/>
          <w:kern w:val="0"/>
          <w:szCs w:val="21"/>
          <w:highlight w:val="none"/>
        </w:rPr>
        <w:t xml:space="preserve">　1．属于保修范围和内容的项目，承包人应在接到发包人的修理通知之日后７天内派人修理。承包人不在约定期限内派人修理，发包人可委托其他人员修理，保修费用从质量保修金内扣除。 </w:t>
      </w:r>
    </w:p>
    <w:p w14:paraId="3D409EBA">
      <w:pPr>
        <w:adjustRightInd w:val="0"/>
        <w:snapToGrid w:val="0"/>
        <w:spacing w:line="480" w:lineRule="auto"/>
        <w:ind w:firstLine="270"/>
        <w:jc w:val="left"/>
        <w:rPr>
          <w:rFonts w:ascii="宋体" w:hAnsi="宋体" w:cs="宋体"/>
          <w:color w:val="auto"/>
          <w:kern w:val="0"/>
          <w:szCs w:val="21"/>
          <w:highlight w:val="none"/>
        </w:rPr>
      </w:pPr>
      <w:r>
        <w:rPr>
          <w:rFonts w:hint="eastAsia" w:ascii="宋体" w:hAnsi="宋体" w:cs="宋体"/>
          <w:color w:val="auto"/>
          <w:kern w:val="0"/>
          <w:szCs w:val="21"/>
          <w:highlight w:val="none"/>
        </w:rPr>
        <w:t xml:space="preserve">　2．发生须紧急抢修事故，承包人接到事故通知后，应立即到达事故现场抢修。非承包人施工质量引起的事故，抢修费用由发包人承担。 </w:t>
      </w:r>
    </w:p>
    <w:p w14:paraId="4269C66E">
      <w:pPr>
        <w:adjustRightInd w:val="0"/>
        <w:snapToGrid w:val="0"/>
        <w:spacing w:line="480" w:lineRule="auto"/>
        <w:ind w:firstLine="270"/>
        <w:jc w:val="left"/>
        <w:rPr>
          <w:rFonts w:ascii="宋体" w:hAnsi="宋体" w:cs="宋体"/>
          <w:color w:val="auto"/>
          <w:kern w:val="0"/>
          <w:szCs w:val="21"/>
          <w:highlight w:val="none"/>
        </w:rPr>
      </w:pPr>
      <w:r>
        <w:rPr>
          <w:rFonts w:hint="eastAsia" w:ascii="宋体" w:hAnsi="宋体" w:cs="宋体"/>
          <w:color w:val="auto"/>
          <w:kern w:val="0"/>
          <w:szCs w:val="21"/>
          <w:highlight w:val="none"/>
        </w:rPr>
        <w:t>　3．在国家规定的工程合理使用期限内，承包人确保地基基础工程和主体结构的质量。因承包人原因致使工程在合理使用期限内造成人身和财产损害的，承包人应承担损害赔偿责任。</w:t>
      </w:r>
    </w:p>
    <w:p w14:paraId="5A8A582B">
      <w:pPr>
        <w:adjustRightInd w:val="0"/>
        <w:snapToGrid w:val="0"/>
        <w:spacing w:line="480" w:lineRule="auto"/>
        <w:ind w:firstLine="420" w:firstLineChars="200"/>
        <w:jc w:val="left"/>
        <w:rPr>
          <w:rFonts w:ascii="宋体" w:hAnsi="宋体" w:cs="宋体"/>
          <w:color w:val="auto"/>
          <w:kern w:val="0"/>
          <w:szCs w:val="21"/>
          <w:highlight w:val="none"/>
        </w:rPr>
      </w:pPr>
      <w:r>
        <w:rPr>
          <w:rFonts w:hint="eastAsia" w:ascii="宋体" w:hAnsi="宋体" w:cs="宋体"/>
          <w:color w:val="auto"/>
          <w:kern w:val="0"/>
          <w:szCs w:val="21"/>
          <w:highlight w:val="none"/>
        </w:rPr>
        <w:t>4.由于设计、地勘单位失误、发包人使用不当、不可抗力、第三方责任等原因造成的质量问题不在保修范围内。</w:t>
      </w:r>
    </w:p>
    <w:p w14:paraId="6ADA3B5A">
      <w:pPr>
        <w:adjustRightInd w:val="0"/>
        <w:snapToGrid w:val="0"/>
        <w:spacing w:line="480" w:lineRule="auto"/>
        <w:ind w:firstLine="210" w:firstLineChars="100"/>
        <w:jc w:val="left"/>
        <w:rPr>
          <w:rFonts w:ascii="宋体" w:hAnsi="宋体" w:cs="宋体"/>
          <w:color w:val="auto"/>
          <w:kern w:val="0"/>
          <w:szCs w:val="21"/>
          <w:highlight w:val="none"/>
        </w:rPr>
      </w:pPr>
      <w:r>
        <w:rPr>
          <w:rFonts w:hint="eastAsia" w:ascii="宋体" w:hAnsi="宋体" w:cs="宋体"/>
          <w:color w:val="auto"/>
          <w:kern w:val="0"/>
          <w:szCs w:val="21"/>
          <w:highlight w:val="none"/>
        </w:rPr>
        <w:t xml:space="preserve">四、质量保修金的支付 </w:t>
      </w:r>
    </w:p>
    <w:p w14:paraId="3FEDC288">
      <w:pPr>
        <w:adjustRightInd w:val="0"/>
        <w:snapToGrid w:val="0"/>
        <w:spacing w:line="480" w:lineRule="auto"/>
        <w:ind w:firstLine="630" w:firstLineChars="300"/>
        <w:jc w:val="left"/>
        <w:rPr>
          <w:rFonts w:ascii="宋体" w:hAnsi="宋体" w:cs="宋体"/>
          <w:color w:val="auto"/>
          <w:kern w:val="0"/>
          <w:szCs w:val="21"/>
          <w:highlight w:val="none"/>
        </w:rPr>
      </w:pPr>
      <w:r>
        <w:rPr>
          <w:rFonts w:hint="eastAsia" w:ascii="宋体" w:hAnsi="宋体" w:cs="宋体"/>
          <w:color w:val="auto"/>
          <w:kern w:val="0"/>
          <w:szCs w:val="21"/>
          <w:highlight w:val="none"/>
        </w:rPr>
        <w:t>本工程约定的工程质量保修金为竣工结算最终</w:t>
      </w:r>
      <w:r>
        <w:rPr>
          <w:rFonts w:hint="eastAsia" w:ascii="宋体" w:hAnsi="宋体" w:cs="宋体"/>
          <w:color w:val="auto"/>
          <w:szCs w:val="21"/>
          <w:highlight w:val="none"/>
          <w:u w:val="single"/>
        </w:rPr>
        <w:t>审定金额</w:t>
      </w:r>
      <w:r>
        <w:rPr>
          <w:rFonts w:hint="eastAsia" w:ascii="宋体" w:hAnsi="宋体" w:cs="宋体"/>
          <w:color w:val="auto"/>
          <w:kern w:val="0"/>
          <w:szCs w:val="21"/>
          <w:highlight w:val="none"/>
        </w:rPr>
        <w:t>的</w:t>
      </w:r>
      <w:r>
        <w:rPr>
          <w:rFonts w:hint="eastAsia" w:ascii="宋体" w:hAnsi="宋体" w:cs="宋体"/>
          <w:b/>
          <w:color w:val="auto"/>
          <w:kern w:val="0"/>
          <w:szCs w:val="21"/>
          <w:highlight w:val="none"/>
          <w:u w:val="single"/>
        </w:rPr>
        <w:t xml:space="preserve"> 3％ </w:t>
      </w:r>
      <w:r>
        <w:rPr>
          <w:rFonts w:hint="eastAsia" w:ascii="宋体" w:hAnsi="宋体" w:cs="宋体"/>
          <w:color w:val="auto"/>
          <w:kern w:val="0"/>
          <w:szCs w:val="21"/>
          <w:highlight w:val="none"/>
        </w:rPr>
        <w:t xml:space="preserve">。 </w:t>
      </w:r>
    </w:p>
    <w:p w14:paraId="7D028B69">
      <w:pPr>
        <w:tabs>
          <w:tab w:val="left" w:pos="643"/>
        </w:tabs>
        <w:adjustRightInd w:val="0"/>
        <w:snapToGrid w:val="0"/>
        <w:spacing w:line="480" w:lineRule="auto"/>
        <w:ind w:firstLine="210" w:firstLineChars="100"/>
        <w:jc w:val="left"/>
        <w:rPr>
          <w:rFonts w:ascii="宋体" w:hAnsi="宋体" w:cs="宋体"/>
          <w:color w:val="auto"/>
          <w:kern w:val="0"/>
          <w:szCs w:val="21"/>
          <w:highlight w:val="none"/>
        </w:rPr>
      </w:pPr>
      <w:r>
        <w:rPr>
          <w:rFonts w:hint="eastAsia" w:ascii="宋体" w:hAnsi="宋体" w:cs="宋体"/>
          <w:color w:val="auto"/>
          <w:kern w:val="0"/>
          <w:szCs w:val="21"/>
          <w:highlight w:val="none"/>
        </w:rPr>
        <w:t xml:space="preserve">五、质量保修金的返还  </w:t>
      </w:r>
    </w:p>
    <w:p w14:paraId="66C7ACB5">
      <w:pPr>
        <w:adjustRightInd w:val="0"/>
        <w:snapToGrid w:val="0"/>
        <w:spacing w:line="480" w:lineRule="auto"/>
        <w:ind w:firstLine="420" w:firstLineChars="200"/>
        <w:jc w:val="left"/>
        <w:rPr>
          <w:rFonts w:ascii="宋体" w:hAnsi="宋体" w:cs="宋体"/>
          <w:color w:val="auto"/>
          <w:kern w:val="0"/>
          <w:szCs w:val="21"/>
          <w:highlight w:val="none"/>
        </w:rPr>
      </w:pPr>
      <w:r>
        <w:rPr>
          <w:rFonts w:hint="eastAsia" w:ascii="宋体" w:hAnsi="宋体" w:cs="宋体"/>
          <w:color w:val="auto"/>
          <w:szCs w:val="21"/>
          <w:highlight w:val="none"/>
          <w:u w:val="single"/>
        </w:rPr>
        <w:t>质量保证金为最终结算（</w:t>
      </w:r>
      <w:r>
        <w:rPr>
          <w:rFonts w:hint="eastAsia" w:ascii="宋体" w:hAnsi="宋体" w:cs="宋体"/>
          <w:color w:val="auto"/>
          <w:szCs w:val="21"/>
          <w:highlight w:val="none"/>
          <w:u w:val="single"/>
          <w:lang w:val="en-US" w:eastAsia="zh-CN"/>
        </w:rPr>
        <w:t>二</w:t>
      </w:r>
      <w:r>
        <w:rPr>
          <w:rFonts w:hint="eastAsia" w:ascii="宋体" w:hAnsi="宋体" w:cs="宋体"/>
          <w:color w:val="auto"/>
          <w:szCs w:val="21"/>
          <w:highlight w:val="none"/>
          <w:u w:val="single"/>
        </w:rPr>
        <w:t>审）审定金额的3%，</w:t>
      </w:r>
      <w:r>
        <w:rPr>
          <w:rFonts w:hint="eastAsia" w:ascii="宋体" w:hAnsi="宋体" w:cs="宋体"/>
          <w:bCs/>
          <w:color w:val="auto"/>
          <w:szCs w:val="21"/>
          <w:highlight w:val="none"/>
          <w:u w:val="single"/>
          <w:lang w:val="zh-CN"/>
        </w:rPr>
        <w:t>两年后</w:t>
      </w:r>
      <w:r>
        <w:rPr>
          <w:rFonts w:hint="eastAsia" w:ascii="宋体" w:hAnsi="宋体" w:cs="宋体"/>
          <w:color w:val="auto"/>
          <w:szCs w:val="21"/>
          <w:highlight w:val="none"/>
          <w:u w:val="single"/>
        </w:rPr>
        <w:t>（从工程验收合格之日起算</w:t>
      </w:r>
      <w:r>
        <w:rPr>
          <w:rFonts w:hint="eastAsia" w:ascii="宋体" w:hAnsi="宋体" w:cs="宋体"/>
          <w:bCs/>
          <w:color w:val="auto"/>
          <w:szCs w:val="21"/>
          <w:highlight w:val="none"/>
          <w:u w:val="single"/>
          <w:lang w:val="zh-CN"/>
        </w:rPr>
        <w:t>）无质量缺陷、修复问题一次性退还（不计利息）</w:t>
      </w:r>
      <w:r>
        <w:rPr>
          <w:rFonts w:hint="eastAsia" w:ascii="宋体" w:hAnsi="宋体" w:cs="宋体"/>
          <w:color w:val="auto"/>
          <w:szCs w:val="21"/>
          <w:highlight w:val="none"/>
          <w:u w:val="single"/>
        </w:rPr>
        <w:t>。</w:t>
      </w:r>
      <w:r>
        <w:rPr>
          <w:rFonts w:hint="eastAsia" w:ascii="宋体" w:hAnsi="宋体" w:cs="宋体"/>
          <w:color w:val="auto"/>
          <w:kern w:val="0"/>
          <w:szCs w:val="21"/>
          <w:highlight w:val="none"/>
        </w:rPr>
        <w:t xml:space="preserve">   </w:t>
      </w:r>
    </w:p>
    <w:p w14:paraId="7C0F3F66">
      <w:pPr>
        <w:spacing w:line="480" w:lineRule="auto"/>
        <w:ind w:firstLine="420" w:firstLineChars="200"/>
        <w:rPr>
          <w:rFonts w:ascii="宋体" w:hAnsi="宋体" w:cs="宋体"/>
          <w:color w:val="auto"/>
          <w:kern w:val="0"/>
          <w:szCs w:val="21"/>
          <w:highlight w:val="none"/>
          <w:u w:val="single"/>
        </w:rPr>
      </w:pPr>
      <w:r>
        <w:rPr>
          <w:rFonts w:hint="eastAsia" w:ascii="宋体" w:hAnsi="宋体" w:cs="宋体"/>
          <w:color w:val="auto"/>
          <w:kern w:val="0"/>
          <w:szCs w:val="21"/>
          <w:highlight w:val="none"/>
        </w:rPr>
        <w:t>六、其他双方约定的其他工程质量保修事项：</w:t>
      </w:r>
      <w:r>
        <w:rPr>
          <w:rFonts w:hint="eastAsia" w:ascii="宋体" w:hAnsi="宋体" w:cs="宋体"/>
          <w:color w:val="auto"/>
          <w:kern w:val="0"/>
          <w:szCs w:val="21"/>
          <w:highlight w:val="none"/>
          <w:u w:val="single"/>
        </w:rPr>
        <w:t>无。</w:t>
      </w:r>
    </w:p>
    <w:p w14:paraId="0D0D0CC4">
      <w:pPr>
        <w:spacing w:line="480" w:lineRule="auto"/>
        <w:ind w:firstLine="420" w:firstLineChars="200"/>
        <w:rPr>
          <w:rFonts w:ascii="宋体" w:hAnsi="宋体"/>
          <w:color w:val="auto"/>
          <w:szCs w:val="21"/>
          <w:highlight w:val="none"/>
        </w:rPr>
      </w:pPr>
      <w:r>
        <w:rPr>
          <w:rFonts w:hint="eastAsia" w:ascii="宋体" w:hAnsi="宋体" w:cs="宋体"/>
          <w:color w:val="auto"/>
          <w:kern w:val="0"/>
          <w:szCs w:val="21"/>
          <w:highlight w:val="none"/>
        </w:rPr>
        <w:t>七</w:t>
      </w:r>
      <w:r>
        <w:rPr>
          <w:rFonts w:hint="eastAsia" w:ascii="宋体" w:hAnsi="宋体"/>
          <w:color w:val="auto"/>
          <w:szCs w:val="21"/>
          <w:highlight w:val="none"/>
        </w:rPr>
        <w:t>、本文件生效</w:t>
      </w:r>
    </w:p>
    <w:p w14:paraId="5736F434">
      <w:pPr>
        <w:spacing w:line="360" w:lineRule="auto"/>
        <w:ind w:firstLine="420" w:firstLineChars="200"/>
        <w:rPr>
          <w:rFonts w:ascii="宋体" w:hAnsi="宋体"/>
          <w:color w:val="auto"/>
          <w:szCs w:val="21"/>
          <w:highlight w:val="none"/>
        </w:rPr>
      </w:pPr>
      <w:r>
        <w:rPr>
          <w:rFonts w:hint="eastAsia" w:ascii="宋体" w:hAnsi="宋体"/>
          <w:color w:val="auto"/>
          <w:szCs w:val="21"/>
          <w:highlight w:val="none"/>
        </w:rPr>
        <w:t>本工程质量保修书经发包人与承包人盖章后生效。</w:t>
      </w:r>
    </w:p>
    <w:p w14:paraId="7D4D86B8">
      <w:pPr>
        <w:pStyle w:val="2"/>
        <w:spacing w:line="360" w:lineRule="auto"/>
        <w:ind w:firstLine="400" w:firstLineChars="200"/>
        <w:rPr>
          <w:rFonts w:ascii="宋体" w:hAnsi="宋体"/>
          <w:color w:val="auto"/>
          <w:szCs w:val="21"/>
          <w:highlight w:val="none"/>
        </w:rPr>
      </w:pPr>
    </w:p>
    <w:p w14:paraId="020334BF">
      <w:pPr>
        <w:spacing w:line="360" w:lineRule="auto"/>
        <w:ind w:firstLine="420" w:firstLineChars="200"/>
        <w:rPr>
          <w:rFonts w:ascii="宋体" w:hAnsi="宋体"/>
          <w:snapToGrid w:val="0"/>
          <w:color w:val="auto"/>
          <w:kern w:val="0"/>
          <w:szCs w:val="21"/>
          <w:highlight w:val="none"/>
        </w:rPr>
      </w:pPr>
      <w:r>
        <w:rPr>
          <w:rFonts w:hint="eastAsia" w:ascii="宋体" w:hAnsi="宋体"/>
          <w:snapToGrid w:val="0"/>
          <w:color w:val="auto"/>
          <w:kern w:val="0"/>
          <w:szCs w:val="21"/>
          <w:highlight w:val="none"/>
        </w:rPr>
        <w:t>发包人：</w:t>
      </w:r>
      <w:r>
        <w:rPr>
          <w:rFonts w:hint="eastAsia" w:ascii="宋体" w:hAnsi="宋体"/>
          <w:snapToGrid w:val="0"/>
          <w:color w:val="auto"/>
          <w:kern w:val="0"/>
          <w:szCs w:val="21"/>
          <w:highlight w:val="none"/>
          <w:u w:val="single"/>
        </w:rPr>
        <w:t xml:space="preserve">                                </w:t>
      </w:r>
      <w:r>
        <w:rPr>
          <w:rFonts w:hint="eastAsia" w:ascii="宋体" w:hAnsi="宋体"/>
          <w:snapToGrid w:val="0"/>
          <w:color w:val="auto"/>
          <w:kern w:val="0"/>
          <w:szCs w:val="21"/>
          <w:highlight w:val="none"/>
        </w:rPr>
        <w:t>（盖单位公章）</w:t>
      </w:r>
    </w:p>
    <w:p w14:paraId="6B2C74D2">
      <w:pPr>
        <w:spacing w:line="360" w:lineRule="auto"/>
        <w:ind w:firstLine="420" w:firstLineChars="200"/>
        <w:rPr>
          <w:rFonts w:ascii="宋体" w:hAnsi="宋体"/>
          <w:snapToGrid w:val="0"/>
          <w:color w:val="auto"/>
          <w:kern w:val="0"/>
          <w:szCs w:val="21"/>
          <w:highlight w:val="none"/>
        </w:rPr>
      </w:pPr>
    </w:p>
    <w:p w14:paraId="7EDA7569">
      <w:pPr>
        <w:spacing w:line="360" w:lineRule="auto"/>
        <w:ind w:firstLine="420" w:firstLineChars="200"/>
        <w:rPr>
          <w:rFonts w:ascii="宋体" w:hAnsi="宋体"/>
          <w:snapToGrid w:val="0"/>
          <w:color w:val="auto"/>
          <w:kern w:val="0"/>
          <w:szCs w:val="21"/>
          <w:highlight w:val="none"/>
        </w:rPr>
      </w:pPr>
    </w:p>
    <w:p w14:paraId="442A19C1">
      <w:pPr>
        <w:spacing w:line="360" w:lineRule="auto"/>
        <w:ind w:firstLine="420" w:firstLineChars="200"/>
        <w:rPr>
          <w:rFonts w:ascii="宋体" w:hAnsi="宋体"/>
          <w:snapToGrid w:val="0"/>
          <w:color w:val="auto"/>
          <w:kern w:val="0"/>
          <w:szCs w:val="21"/>
          <w:highlight w:val="none"/>
        </w:rPr>
      </w:pPr>
      <w:r>
        <w:rPr>
          <w:rFonts w:hint="eastAsia" w:ascii="宋体" w:hAnsi="宋体"/>
          <w:snapToGrid w:val="0"/>
          <w:color w:val="auto"/>
          <w:kern w:val="0"/>
          <w:szCs w:val="21"/>
          <w:highlight w:val="none"/>
        </w:rPr>
        <w:t>法定代表人或其委托代理人：</w:t>
      </w:r>
      <w:r>
        <w:rPr>
          <w:rFonts w:hint="eastAsia" w:ascii="宋体" w:hAnsi="宋体"/>
          <w:snapToGrid w:val="0"/>
          <w:color w:val="auto"/>
          <w:kern w:val="0"/>
          <w:szCs w:val="21"/>
          <w:highlight w:val="none"/>
          <w:u w:val="single"/>
        </w:rPr>
        <w:t xml:space="preserve">                </w:t>
      </w:r>
      <w:r>
        <w:rPr>
          <w:rFonts w:hint="eastAsia" w:ascii="宋体" w:hAnsi="宋体"/>
          <w:snapToGrid w:val="0"/>
          <w:color w:val="auto"/>
          <w:kern w:val="0"/>
          <w:szCs w:val="21"/>
          <w:highlight w:val="none"/>
        </w:rPr>
        <w:t>（签名）</w:t>
      </w:r>
    </w:p>
    <w:p w14:paraId="415C2DEB">
      <w:pPr>
        <w:spacing w:line="360" w:lineRule="auto"/>
        <w:ind w:firstLine="420" w:firstLineChars="200"/>
        <w:rPr>
          <w:rFonts w:ascii="宋体" w:hAnsi="宋体"/>
          <w:snapToGrid w:val="0"/>
          <w:color w:val="auto"/>
          <w:kern w:val="0"/>
          <w:szCs w:val="21"/>
          <w:highlight w:val="none"/>
        </w:rPr>
      </w:pPr>
    </w:p>
    <w:p w14:paraId="42EA931A">
      <w:pPr>
        <w:spacing w:line="360" w:lineRule="auto"/>
        <w:ind w:firstLine="420" w:firstLineChars="200"/>
        <w:rPr>
          <w:rFonts w:ascii="宋体" w:hAnsi="宋体"/>
          <w:snapToGrid w:val="0"/>
          <w:color w:val="auto"/>
          <w:kern w:val="0"/>
          <w:szCs w:val="21"/>
          <w:highlight w:val="none"/>
        </w:rPr>
      </w:pPr>
    </w:p>
    <w:p w14:paraId="1884593B">
      <w:pPr>
        <w:spacing w:line="360" w:lineRule="auto"/>
        <w:ind w:firstLine="420" w:firstLineChars="200"/>
        <w:rPr>
          <w:rFonts w:ascii="宋体" w:hAnsi="宋体"/>
          <w:color w:val="auto"/>
          <w:szCs w:val="21"/>
          <w:highlight w:val="none"/>
        </w:rPr>
      </w:pPr>
      <w:r>
        <w:rPr>
          <w:rFonts w:hint="eastAsia" w:ascii="宋体" w:hAnsi="宋体"/>
          <w:snapToGrid w:val="0"/>
          <w:color w:val="auto"/>
          <w:kern w:val="0"/>
          <w:szCs w:val="21"/>
          <w:highlight w:val="none"/>
        </w:rPr>
        <w:t>承包人：</w:t>
      </w:r>
      <w:r>
        <w:rPr>
          <w:rFonts w:hint="eastAsia" w:ascii="宋体" w:hAnsi="宋体"/>
          <w:snapToGrid w:val="0"/>
          <w:color w:val="auto"/>
          <w:kern w:val="0"/>
          <w:szCs w:val="21"/>
          <w:highlight w:val="none"/>
          <w:u w:val="single"/>
        </w:rPr>
        <w:t xml:space="preserve">                                </w:t>
      </w:r>
      <w:r>
        <w:rPr>
          <w:rFonts w:hint="eastAsia" w:ascii="宋体" w:hAnsi="宋体"/>
          <w:snapToGrid w:val="0"/>
          <w:color w:val="auto"/>
          <w:kern w:val="0"/>
          <w:szCs w:val="21"/>
          <w:highlight w:val="none"/>
        </w:rPr>
        <w:t>（盖单位公章）</w:t>
      </w:r>
    </w:p>
    <w:p w14:paraId="13A6E087">
      <w:pPr>
        <w:spacing w:line="360" w:lineRule="auto"/>
        <w:ind w:firstLine="420" w:firstLineChars="200"/>
        <w:rPr>
          <w:rFonts w:ascii="宋体" w:hAnsi="宋体"/>
          <w:snapToGrid w:val="0"/>
          <w:color w:val="auto"/>
          <w:kern w:val="0"/>
          <w:szCs w:val="21"/>
          <w:highlight w:val="none"/>
        </w:rPr>
      </w:pPr>
    </w:p>
    <w:p w14:paraId="55A51C1D">
      <w:pPr>
        <w:spacing w:line="360" w:lineRule="auto"/>
        <w:ind w:firstLine="420" w:firstLineChars="200"/>
        <w:rPr>
          <w:rFonts w:ascii="宋体" w:hAnsi="宋体"/>
          <w:snapToGrid w:val="0"/>
          <w:color w:val="auto"/>
          <w:kern w:val="0"/>
          <w:szCs w:val="21"/>
          <w:highlight w:val="none"/>
        </w:rPr>
      </w:pPr>
    </w:p>
    <w:p w14:paraId="6867C67C">
      <w:pPr>
        <w:spacing w:line="360" w:lineRule="auto"/>
        <w:ind w:firstLine="420" w:firstLineChars="200"/>
        <w:rPr>
          <w:rFonts w:ascii="宋体" w:hAnsi="宋体"/>
          <w:bCs/>
          <w:color w:val="auto"/>
          <w:kern w:val="0"/>
          <w:szCs w:val="21"/>
          <w:highlight w:val="none"/>
        </w:rPr>
      </w:pPr>
      <w:r>
        <w:rPr>
          <w:rFonts w:hint="eastAsia" w:ascii="宋体" w:hAnsi="宋体"/>
          <w:snapToGrid w:val="0"/>
          <w:color w:val="auto"/>
          <w:kern w:val="0"/>
          <w:szCs w:val="21"/>
          <w:highlight w:val="none"/>
        </w:rPr>
        <w:t>法定代表人或其委托代理人：</w:t>
      </w:r>
      <w:r>
        <w:rPr>
          <w:rFonts w:hint="eastAsia" w:ascii="宋体" w:hAnsi="宋体"/>
          <w:snapToGrid w:val="0"/>
          <w:color w:val="auto"/>
          <w:kern w:val="0"/>
          <w:szCs w:val="21"/>
          <w:highlight w:val="none"/>
          <w:u w:val="single"/>
        </w:rPr>
        <w:t xml:space="preserve">                </w:t>
      </w:r>
      <w:r>
        <w:rPr>
          <w:rFonts w:hint="eastAsia" w:ascii="宋体" w:hAnsi="宋体"/>
          <w:snapToGrid w:val="0"/>
          <w:color w:val="auto"/>
          <w:kern w:val="0"/>
          <w:szCs w:val="21"/>
          <w:highlight w:val="none"/>
        </w:rPr>
        <w:t>（签名）</w:t>
      </w:r>
    </w:p>
    <w:p w14:paraId="5E0DCF9C">
      <w:pPr>
        <w:spacing w:line="360" w:lineRule="auto"/>
        <w:ind w:firstLine="418" w:firstLineChars="200"/>
        <w:rPr>
          <w:rFonts w:ascii="宋体" w:hAnsi="宋体"/>
          <w:snapToGrid w:val="0"/>
          <w:color w:val="auto"/>
          <w:spacing w:val="1"/>
          <w:w w:val="99"/>
          <w:kern w:val="0"/>
          <w:position w:val="-2"/>
          <w:szCs w:val="21"/>
          <w:highlight w:val="none"/>
        </w:rPr>
      </w:pPr>
    </w:p>
    <w:p w14:paraId="3F5F6E43">
      <w:pPr>
        <w:spacing w:line="360" w:lineRule="auto"/>
        <w:ind w:firstLine="418" w:firstLineChars="200"/>
        <w:rPr>
          <w:rFonts w:ascii="宋体" w:hAnsi="宋体"/>
          <w:snapToGrid w:val="0"/>
          <w:color w:val="auto"/>
          <w:spacing w:val="1"/>
          <w:w w:val="99"/>
          <w:kern w:val="0"/>
          <w:position w:val="-2"/>
          <w:szCs w:val="21"/>
          <w:highlight w:val="none"/>
        </w:rPr>
      </w:pPr>
    </w:p>
    <w:p w14:paraId="455EC3DD">
      <w:pPr>
        <w:spacing w:line="360" w:lineRule="auto"/>
        <w:ind w:firstLine="420" w:firstLineChars="200"/>
        <w:jc w:val="right"/>
        <w:rPr>
          <w:rFonts w:ascii="宋体" w:hAnsi="宋体"/>
          <w:snapToGrid w:val="0"/>
          <w:color w:val="auto"/>
          <w:kern w:val="0"/>
          <w:szCs w:val="21"/>
          <w:highlight w:val="none"/>
        </w:rPr>
      </w:pPr>
      <w:r>
        <w:rPr>
          <w:rFonts w:hint="eastAsia" w:ascii="宋体" w:hAnsi="宋体"/>
          <w:snapToGrid w:val="0"/>
          <w:color w:val="auto"/>
          <w:kern w:val="0"/>
          <w:szCs w:val="21"/>
          <w:highlight w:val="none"/>
        </w:rPr>
        <w:t>签约时间：</w:t>
      </w:r>
      <w:r>
        <w:rPr>
          <w:rFonts w:hint="eastAsia" w:ascii="宋体" w:hAnsi="宋体"/>
          <w:snapToGrid w:val="0"/>
          <w:color w:val="auto"/>
          <w:kern w:val="0"/>
          <w:szCs w:val="21"/>
          <w:highlight w:val="none"/>
          <w:u w:val="single"/>
        </w:rPr>
        <w:t xml:space="preserve">     </w:t>
      </w:r>
      <w:r>
        <w:rPr>
          <w:rFonts w:hint="eastAsia" w:ascii="宋体" w:hAnsi="宋体"/>
          <w:snapToGrid w:val="0"/>
          <w:color w:val="auto"/>
          <w:kern w:val="0"/>
          <w:szCs w:val="21"/>
          <w:highlight w:val="none"/>
        </w:rPr>
        <w:t>年</w:t>
      </w:r>
      <w:r>
        <w:rPr>
          <w:rFonts w:hint="eastAsia" w:ascii="宋体" w:hAnsi="宋体"/>
          <w:snapToGrid w:val="0"/>
          <w:color w:val="auto"/>
          <w:kern w:val="0"/>
          <w:szCs w:val="21"/>
          <w:highlight w:val="none"/>
          <w:u w:val="single"/>
        </w:rPr>
        <w:t xml:space="preserve">     </w:t>
      </w:r>
      <w:r>
        <w:rPr>
          <w:rFonts w:hint="eastAsia" w:ascii="宋体" w:hAnsi="宋体"/>
          <w:snapToGrid w:val="0"/>
          <w:color w:val="auto"/>
          <w:kern w:val="0"/>
          <w:szCs w:val="21"/>
          <w:highlight w:val="none"/>
        </w:rPr>
        <w:t>月</w:t>
      </w:r>
      <w:r>
        <w:rPr>
          <w:rFonts w:hint="eastAsia" w:ascii="宋体" w:hAnsi="宋体"/>
          <w:snapToGrid w:val="0"/>
          <w:color w:val="auto"/>
          <w:kern w:val="0"/>
          <w:szCs w:val="21"/>
          <w:highlight w:val="none"/>
          <w:u w:val="single"/>
        </w:rPr>
        <w:t xml:space="preserve">     </w:t>
      </w:r>
      <w:r>
        <w:rPr>
          <w:rFonts w:hint="eastAsia" w:ascii="宋体" w:hAnsi="宋体"/>
          <w:snapToGrid w:val="0"/>
          <w:color w:val="auto"/>
          <w:kern w:val="0"/>
          <w:szCs w:val="21"/>
          <w:highlight w:val="none"/>
        </w:rPr>
        <w:t>日</w:t>
      </w:r>
    </w:p>
    <w:p w14:paraId="51CF8281">
      <w:pPr>
        <w:adjustRightInd w:val="0"/>
        <w:snapToGrid w:val="0"/>
        <w:spacing w:line="360" w:lineRule="auto"/>
        <w:ind w:firstLine="420" w:firstLineChars="200"/>
        <w:jc w:val="left"/>
        <w:rPr>
          <w:rFonts w:ascii="宋体" w:hAnsi="宋体"/>
          <w:snapToGrid w:val="0"/>
          <w:color w:val="auto"/>
          <w:kern w:val="0"/>
          <w:szCs w:val="21"/>
          <w:highlight w:val="none"/>
        </w:rPr>
      </w:pPr>
      <w:r>
        <w:rPr>
          <w:rFonts w:hint="eastAsia" w:ascii="宋体" w:hAnsi="宋体"/>
          <w:color w:val="auto"/>
          <w:szCs w:val="21"/>
          <w:highlight w:val="none"/>
        </w:rPr>
        <w:br w:type="page"/>
      </w:r>
      <w:r>
        <w:rPr>
          <w:rFonts w:hint="eastAsia" w:ascii="宋体" w:hAnsi="宋体" w:cs="宋体"/>
          <w:color w:val="auto"/>
          <w:kern w:val="0"/>
          <w:szCs w:val="21"/>
          <w:highlight w:val="none"/>
        </w:rPr>
        <w:t>　</w:t>
      </w:r>
    </w:p>
    <w:p w14:paraId="79A5540C">
      <w:pPr>
        <w:tabs>
          <w:tab w:val="left" w:pos="2000"/>
        </w:tabs>
        <w:spacing w:line="360" w:lineRule="auto"/>
        <w:rPr>
          <w:rFonts w:ascii="宋体" w:hAnsi="宋体" w:cs="宋体"/>
          <w:color w:val="auto"/>
          <w:kern w:val="10"/>
          <w:szCs w:val="21"/>
          <w:highlight w:val="none"/>
        </w:rPr>
      </w:pPr>
      <w:r>
        <w:rPr>
          <w:rFonts w:hint="eastAsia" w:ascii="宋体" w:hAnsi="宋体" w:cs="宋体"/>
          <w:color w:val="auto"/>
          <w:kern w:val="10"/>
          <w:szCs w:val="21"/>
          <w:highlight w:val="none"/>
        </w:rPr>
        <w:t>附件2：</w:t>
      </w:r>
      <w:r>
        <w:rPr>
          <w:rFonts w:hint="eastAsia" w:ascii="宋体" w:hAnsi="宋体" w:cs="宋体"/>
          <w:color w:val="auto"/>
          <w:kern w:val="10"/>
          <w:szCs w:val="21"/>
          <w:highlight w:val="none"/>
        </w:rPr>
        <w:tab/>
      </w:r>
    </w:p>
    <w:p w14:paraId="18982FF6">
      <w:pPr>
        <w:tabs>
          <w:tab w:val="left" w:pos="1845"/>
        </w:tabs>
        <w:spacing w:line="420" w:lineRule="auto"/>
        <w:ind w:firstLine="3087" w:firstLineChars="961"/>
        <w:rPr>
          <w:rFonts w:ascii="宋体" w:hAnsi="宋体" w:cs="宋体"/>
          <w:color w:val="auto"/>
          <w:sz w:val="32"/>
          <w:szCs w:val="32"/>
          <w:highlight w:val="none"/>
        </w:rPr>
      </w:pPr>
      <w:r>
        <w:rPr>
          <w:rFonts w:hint="eastAsia" w:ascii="宋体" w:hAnsi="宋体" w:cs="宋体"/>
          <w:b/>
          <w:bCs/>
          <w:color w:val="auto"/>
          <w:sz w:val="32"/>
          <w:szCs w:val="32"/>
          <w:highlight w:val="none"/>
        </w:rPr>
        <w:t>工程建设项目廉政协议书</w:t>
      </w:r>
    </w:p>
    <w:p w14:paraId="40325C6D">
      <w:pPr>
        <w:spacing w:line="500" w:lineRule="exact"/>
        <w:rPr>
          <w:rFonts w:ascii="宋体" w:hAnsi="宋体" w:cs="宋体"/>
          <w:b/>
          <w:bCs/>
          <w:color w:val="auto"/>
          <w:szCs w:val="21"/>
          <w:highlight w:val="none"/>
          <w:u w:val="single"/>
        </w:rPr>
      </w:pPr>
      <w:r>
        <w:rPr>
          <w:rFonts w:hint="eastAsia" w:ascii="宋体" w:hAnsi="宋体" w:cs="宋体"/>
          <w:color w:val="auto"/>
          <w:szCs w:val="21"/>
          <w:highlight w:val="none"/>
        </w:rPr>
        <w:t>工程项目名称：</w:t>
      </w:r>
      <w:r>
        <w:rPr>
          <w:rFonts w:hint="eastAsia" w:ascii="宋体" w:hAnsi="宋体" w:cs="宋体"/>
          <w:color w:val="auto"/>
          <w:szCs w:val="21"/>
          <w:highlight w:val="none"/>
          <w:u w:val="single"/>
        </w:rPr>
        <w:t xml:space="preserve">                           </w:t>
      </w:r>
    </w:p>
    <w:p w14:paraId="6D8233C4">
      <w:pPr>
        <w:spacing w:line="500" w:lineRule="exact"/>
        <w:ind w:left="2100" w:hanging="2100" w:hangingChars="1000"/>
        <w:rPr>
          <w:rFonts w:ascii="宋体" w:hAnsi="宋体" w:cs="宋体"/>
          <w:color w:val="auto"/>
          <w:szCs w:val="21"/>
          <w:highlight w:val="none"/>
          <w:u w:val="single"/>
        </w:rPr>
      </w:pPr>
      <w:r>
        <w:rPr>
          <w:rFonts w:hint="eastAsia" w:ascii="宋体" w:hAnsi="宋体" w:cs="宋体"/>
          <w:color w:val="auto"/>
          <w:szCs w:val="21"/>
          <w:highlight w:val="none"/>
        </w:rPr>
        <w:t>建设单位（甲方）：</w:t>
      </w:r>
      <w:r>
        <w:rPr>
          <w:rFonts w:hint="eastAsia" w:ascii="宋体" w:hAnsi="宋体" w:cs="宋体"/>
          <w:color w:val="auto"/>
          <w:szCs w:val="21"/>
          <w:highlight w:val="none"/>
          <w:u w:val="single"/>
        </w:rPr>
        <w:t xml:space="preserve">                      </w:t>
      </w:r>
    </w:p>
    <w:p w14:paraId="0D8A0342">
      <w:pPr>
        <w:spacing w:line="500" w:lineRule="exact"/>
        <w:rPr>
          <w:rFonts w:ascii="宋体" w:hAnsi="宋体" w:cs="宋体"/>
          <w:color w:val="auto"/>
          <w:szCs w:val="21"/>
          <w:highlight w:val="none"/>
          <w:u w:val="single"/>
        </w:rPr>
      </w:pPr>
      <w:r>
        <w:rPr>
          <w:rFonts w:hint="eastAsia" w:ascii="宋体" w:hAnsi="宋体" w:cs="宋体"/>
          <w:color w:val="auto"/>
          <w:szCs w:val="21"/>
          <w:highlight w:val="none"/>
        </w:rPr>
        <w:t>施工单位（乙方）：</w:t>
      </w:r>
      <w:r>
        <w:rPr>
          <w:rFonts w:hint="eastAsia" w:ascii="宋体" w:hAnsi="宋体" w:cs="宋体"/>
          <w:color w:val="auto"/>
          <w:szCs w:val="21"/>
          <w:highlight w:val="none"/>
          <w:u w:val="single"/>
        </w:rPr>
        <w:t xml:space="preserve">                      </w:t>
      </w:r>
    </w:p>
    <w:p w14:paraId="11CC8D4B">
      <w:pPr>
        <w:spacing w:line="500" w:lineRule="exact"/>
        <w:ind w:firstLine="420" w:firstLineChars="200"/>
        <w:rPr>
          <w:rFonts w:ascii="宋体" w:hAnsi="宋体" w:cs="宋体"/>
          <w:color w:val="auto"/>
          <w:szCs w:val="21"/>
          <w:highlight w:val="none"/>
        </w:rPr>
      </w:pPr>
      <w:r>
        <w:rPr>
          <w:rFonts w:hint="eastAsia" w:ascii="宋体" w:hAnsi="宋体" w:cs="宋体"/>
          <w:color w:val="auto"/>
          <w:szCs w:val="21"/>
          <w:highlight w:val="none"/>
        </w:rPr>
        <w:t>为加强工程建设中的廉政建设，规范工程建设项目承发包双方的各项活动，防止发生各种谋取不正当利益的违法违纪行为，保护国家、集体和当事人的合法权益，根据国家有关工程建设的法律法规和廉政建设责任制规定，特订立本廉政责任书。</w:t>
      </w:r>
    </w:p>
    <w:p w14:paraId="792EFC05">
      <w:pPr>
        <w:spacing w:line="500" w:lineRule="exact"/>
        <w:ind w:firstLine="420" w:firstLineChars="200"/>
        <w:rPr>
          <w:rFonts w:ascii="宋体" w:hAnsi="宋体" w:cs="宋体"/>
          <w:color w:val="auto"/>
          <w:szCs w:val="21"/>
          <w:highlight w:val="none"/>
        </w:rPr>
      </w:pPr>
      <w:r>
        <w:rPr>
          <w:rFonts w:hint="eastAsia" w:ascii="宋体" w:hAnsi="宋体" w:cs="宋体"/>
          <w:color w:val="auto"/>
          <w:szCs w:val="21"/>
          <w:highlight w:val="none"/>
        </w:rPr>
        <w:t>第一条  甲乙双方的责任</w:t>
      </w:r>
    </w:p>
    <w:p w14:paraId="0C1FCDAD">
      <w:pPr>
        <w:spacing w:line="500" w:lineRule="exact"/>
        <w:ind w:firstLine="420" w:firstLineChars="200"/>
        <w:rPr>
          <w:rFonts w:ascii="宋体" w:hAnsi="宋体" w:cs="宋体"/>
          <w:color w:val="auto"/>
          <w:szCs w:val="21"/>
          <w:highlight w:val="none"/>
        </w:rPr>
      </w:pPr>
      <w:r>
        <w:rPr>
          <w:rFonts w:hint="eastAsia" w:ascii="宋体" w:hAnsi="宋体" w:cs="宋体"/>
          <w:color w:val="auto"/>
          <w:szCs w:val="21"/>
          <w:highlight w:val="none"/>
        </w:rPr>
        <w:t>（一）应严格遵守国家关于市场准入、项目招标投标、工程建设、施工安装和市场活动的有关法律、法规，相关政策，以及廉政建设的各项规定。</w:t>
      </w:r>
    </w:p>
    <w:p w14:paraId="17D7F7BF">
      <w:pPr>
        <w:spacing w:line="500" w:lineRule="exact"/>
        <w:ind w:firstLine="420" w:firstLineChars="200"/>
        <w:rPr>
          <w:rFonts w:ascii="宋体" w:hAnsi="宋体" w:cs="宋体"/>
          <w:color w:val="auto"/>
          <w:szCs w:val="21"/>
          <w:highlight w:val="none"/>
        </w:rPr>
      </w:pPr>
      <w:r>
        <w:rPr>
          <w:rFonts w:hint="eastAsia" w:ascii="宋体" w:hAnsi="宋体" w:cs="宋体"/>
          <w:color w:val="auto"/>
          <w:szCs w:val="21"/>
          <w:highlight w:val="none"/>
        </w:rPr>
        <w:t>（二）严格执行建设工程项目发包合同文件，自觉按合同办事。</w:t>
      </w:r>
    </w:p>
    <w:p w14:paraId="36CCBA56">
      <w:pPr>
        <w:spacing w:line="500" w:lineRule="exact"/>
        <w:ind w:firstLine="420" w:firstLineChars="200"/>
        <w:rPr>
          <w:rFonts w:ascii="宋体" w:hAnsi="宋体" w:cs="宋体"/>
          <w:color w:val="auto"/>
          <w:szCs w:val="21"/>
          <w:highlight w:val="none"/>
        </w:rPr>
      </w:pPr>
      <w:r>
        <w:rPr>
          <w:rFonts w:hint="eastAsia" w:ascii="宋体" w:hAnsi="宋体" w:cs="宋体"/>
          <w:color w:val="auto"/>
          <w:szCs w:val="21"/>
          <w:highlight w:val="none"/>
        </w:rPr>
        <w:t>（三）业务活动必须坚持公开、公平、公正、诚信、透明的原则（除法律法规另有规定者外），不得为获取不正当的利益，损害国家、集体和对方利益，不得违反工程建设管理、施工安装的规章制度。</w:t>
      </w:r>
    </w:p>
    <w:p w14:paraId="3EFC1CB4">
      <w:pPr>
        <w:spacing w:line="500" w:lineRule="exact"/>
        <w:ind w:firstLine="420" w:firstLineChars="200"/>
        <w:rPr>
          <w:rFonts w:ascii="宋体" w:hAnsi="宋体" w:cs="宋体"/>
          <w:color w:val="auto"/>
          <w:szCs w:val="21"/>
          <w:highlight w:val="none"/>
        </w:rPr>
      </w:pPr>
      <w:r>
        <w:rPr>
          <w:rFonts w:hint="eastAsia" w:ascii="宋体" w:hAnsi="宋体" w:cs="宋体"/>
          <w:color w:val="auto"/>
          <w:szCs w:val="21"/>
          <w:highlight w:val="none"/>
        </w:rPr>
        <w:t>（四）发现对方在业务活动中有违规、违纪、违法行为的，应及时提醒对方，情节严重的，应向其上级主管部门或纪检监察、司法等有关机关举报。</w:t>
      </w:r>
    </w:p>
    <w:p w14:paraId="471442BD">
      <w:pPr>
        <w:spacing w:line="500" w:lineRule="exact"/>
        <w:ind w:firstLine="420" w:firstLineChars="200"/>
        <w:rPr>
          <w:rFonts w:ascii="宋体" w:hAnsi="宋体" w:cs="宋体"/>
          <w:color w:val="auto"/>
          <w:szCs w:val="21"/>
          <w:highlight w:val="none"/>
        </w:rPr>
      </w:pPr>
      <w:r>
        <w:rPr>
          <w:rFonts w:hint="eastAsia" w:ascii="宋体" w:hAnsi="宋体" w:cs="宋体"/>
          <w:color w:val="auto"/>
          <w:szCs w:val="21"/>
          <w:highlight w:val="none"/>
        </w:rPr>
        <w:t>第二条  甲方的责任</w:t>
      </w:r>
    </w:p>
    <w:p w14:paraId="373A9A55">
      <w:pPr>
        <w:spacing w:line="500" w:lineRule="exact"/>
        <w:ind w:firstLine="420" w:firstLineChars="200"/>
        <w:rPr>
          <w:rFonts w:ascii="宋体" w:hAnsi="宋体" w:cs="宋体"/>
          <w:color w:val="auto"/>
          <w:szCs w:val="21"/>
          <w:highlight w:val="none"/>
        </w:rPr>
      </w:pPr>
      <w:r>
        <w:rPr>
          <w:rFonts w:hint="eastAsia" w:ascii="宋体" w:hAnsi="宋体" w:cs="宋体"/>
          <w:color w:val="auto"/>
          <w:szCs w:val="21"/>
          <w:highlight w:val="none"/>
        </w:rPr>
        <w:t>甲方的领导和从事该建设工程项目的工作人员，在工程建设事前、事中、事后应遵守以下规定：</w:t>
      </w:r>
    </w:p>
    <w:p w14:paraId="6069E7DE">
      <w:pPr>
        <w:spacing w:line="500" w:lineRule="exact"/>
        <w:ind w:firstLine="420" w:firstLineChars="200"/>
        <w:rPr>
          <w:rFonts w:ascii="宋体" w:hAnsi="宋体" w:cs="宋体"/>
          <w:color w:val="auto"/>
          <w:szCs w:val="21"/>
          <w:highlight w:val="none"/>
        </w:rPr>
      </w:pPr>
      <w:r>
        <w:rPr>
          <w:rFonts w:hint="eastAsia" w:ascii="宋体" w:hAnsi="宋体" w:cs="宋体"/>
          <w:color w:val="auto"/>
          <w:szCs w:val="21"/>
          <w:highlight w:val="none"/>
        </w:rPr>
        <w:t>（一）不准向乙方和相关单位索要和接受回扣、礼金、有价证券、贵重物品和好处费、感谢费等。</w:t>
      </w:r>
    </w:p>
    <w:p w14:paraId="551E7E1D">
      <w:pPr>
        <w:spacing w:line="500" w:lineRule="exact"/>
        <w:ind w:firstLine="420" w:firstLineChars="200"/>
        <w:rPr>
          <w:rFonts w:ascii="宋体" w:hAnsi="宋体" w:cs="宋体"/>
          <w:color w:val="auto"/>
          <w:szCs w:val="21"/>
          <w:highlight w:val="none"/>
        </w:rPr>
      </w:pPr>
      <w:r>
        <w:rPr>
          <w:rFonts w:hint="eastAsia" w:ascii="宋体" w:hAnsi="宋体" w:cs="宋体"/>
          <w:color w:val="auto"/>
          <w:szCs w:val="21"/>
          <w:highlight w:val="none"/>
        </w:rPr>
        <w:t>（二）不准在乙方和相关单位报销任何应由甲方或个人支付的费用。</w:t>
      </w:r>
    </w:p>
    <w:p w14:paraId="164BA964">
      <w:pPr>
        <w:spacing w:line="500" w:lineRule="exact"/>
        <w:ind w:firstLine="420" w:firstLineChars="200"/>
        <w:rPr>
          <w:rFonts w:ascii="宋体" w:hAnsi="宋体" w:cs="宋体"/>
          <w:color w:val="auto"/>
          <w:szCs w:val="21"/>
          <w:highlight w:val="none"/>
        </w:rPr>
      </w:pPr>
      <w:r>
        <w:rPr>
          <w:rFonts w:hint="eastAsia" w:ascii="宋体" w:hAnsi="宋体" w:cs="宋体"/>
          <w:color w:val="auto"/>
          <w:szCs w:val="21"/>
          <w:highlight w:val="none"/>
        </w:rPr>
        <w:t>（三）不准要求、暗示或接受乙方和相关单位为个人装修住房、婚丧嫁娶、配偶子女的工作安排以及出国（境）、旅游等提供方便。</w:t>
      </w:r>
    </w:p>
    <w:p w14:paraId="040C284C">
      <w:pPr>
        <w:spacing w:line="500" w:lineRule="exact"/>
        <w:ind w:firstLine="420" w:firstLineChars="200"/>
        <w:rPr>
          <w:rFonts w:ascii="宋体" w:hAnsi="宋体" w:cs="宋体"/>
          <w:color w:val="auto"/>
          <w:szCs w:val="21"/>
          <w:highlight w:val="none"/>
        </w:rPr>
      </w:pPr>
      <w:r>
        <w:rPr>
          <w:rFonts w:hint="eastAsia" w:ascii="宋体" w:hAnsi="宋体" w:cs="宋体"/>
          <w:color w:val="auto"/>
          <w:szCs w:val="21"/>
          <w:highlight w:val="none"/>
        </w:rPr>
        <w:t>（四）不准参加有可能影响公正执行公务的乙方和相关单位的宴请、健身、娱乐等活动。</w:t>
      </w:r>
    </w:p>
    <w:p w14:paraId="2A6283E4">
      <w:pPr>
        <w:spacing w:line="500" w:lineRule="exact"/>
        <w:ind w:firstLine="420" w:firstLineChars="200"/>
        <w:rPr>
          <w:rFonts w:ascii="宋体" w:hAnsi="宋体" w:cs="宋体"/>
          <w:color w:val="auto"/>
          <w:szCs w:val="21"/>
          <w:highlight w:val="none"/>
        </w:rPr>
      </w:pPr>
      <w:r>
        <w:rPr>
          <w:rFonts w:hint="eastAsia" w:ascii="宋体" w:hAnsi="宋体" w:cs="宋体"/>
          <w:color w:val="auto"/>
          <w:szCs w:val="21"/>
          <w:highlight w:val="none"/>
        </w:rPr>
        <w:t>（五）不准向乙方介绍或为配偶、子女、亲属参与同甲方项目工程施工合同有关的设备、材料、工程分包、劳务等经济活动。不得以任何理由向乙方和相关单位推荐分包单位和要求乙方购买项目工程施工合同规定以外的材料、设备等。</w:t>
      </w:r>
    </w:p>
    <w:p w14:paraId="467DDB11">
      <w:pPr>
        <w:spacing w:line="500" w:lineRule="exact"/>
        <w:ind w:firstLine="420" w:firstLineChars="200"/>
        <w:rPr>
          <w:rFonts w:ascii="宋体" w:hAnsi="宋体" w:cs="宋体"/>
          <w:color w:val="auto"/>
          <w:szCs w:val="21"/>
          <w:highlight w:val="none"/>
        </w:rPr>
      </w:pPr>
      <w:r>
        <w:rPr>
          <w:rFonts w:hint="eastAsia" w:ascii="宋体" w:hAnsi="宋体" w:cs="宋体"/>
          <w:color w:val="auto"/>
          <w:szCs w:val="21"/>
          <w:highlight w:val="none"/>
        </w:rPr>
        <w:t>第三条  乙方的责任</w:t>
      </w:r>
    </w:p>
    <w:p w14:paraId="344B545C">
      <w:pPr>
        <w:spacing w:line="500" w:lineRule="exact"/>
        <w:ind w:firstLine="420" w:firstLineChars="200"/>
        <w:rPr>
          <w:rFonts w:ascii="宋体" w:hAnsi="宋体" w:cs="宋体"/>
          <w:color w:val="auto"/>
          <w:szCs w:val="21"/>
          <w:highlight w:val="none"/>
        </w:rPr>
      </w:pPr>
      <w:r>
        <w:rPr>
          <w:rFonts w:hint="eastAsia" w:ascii="宋体" w:hAnsi="宋体" w:cs="宋体"/>
          <w:color w:val="auto"/>
          <w:szCs w:val="21"/>
          <w:highlight w:val="none"/>
        </w:rPr>
        <w:t>应与甲方保持正常的业务交住，按照有关法律法规和程序开展业务工作，严格执行工程建设的有关方针、政策，尤其是有关建筑施工安装的强制性标准和规范，并遵守以下规定：</w:t>
      </w:r>
    </w:p>
    <w:p w14:paraId="55A7E935">
      <w:pPr>
        <w:spacing w:line="500" w:lineRule="exact"/>
        <w:ind w:firstLine="420" w:firstLineChars="200"/>
        <w:rPr>
          <w:rFonts w:ascii="宋体" w:hAnsi="宋体" w:cs="宋体"/>
          <w:color w:val="auto"/>
          <w:szCs w:val="21"/>
          <w:highlight w:val="none"/>
        </w:rPr>
      </w:pPr>
      <w:r>
        <w:rPr>
          <w:rFonts w:hint="eastAsia" w:ascii="宋体" w:hAnsi="宋体" w:cs="宋体"/>
          <w:color w:val="auto"/>
          <w:szCs w:val="21"/>
          <w:highlight w:val="none"/>
        </w:rPr>
        <w:t>（一）不准以任何理由向甲方、相关单位及其工作人员索要、接受或赠送礼金、有价证券、贵重物品及回扣、好处费、感谢费等。</w:t>
      </w:r>
    </w:p>
    <w:p w14:paraId="79772C91">
      <w:pPr>
        <w:spacing w:line="500" w:lineRule="exact"/>
        <w:ind w:firstLine="420" w:firstLineChars="200"/>
        <w:rPr>
          <w:rFonts w:ascii="宋体" w:hAnsi="宋体" w:cs="宋体"/>
          <w:color w:val="auto"/>
          <w:szCs w:val="21"/>
          <w:highlight w:val="none"/>
        </w:rPr>
      </w:pPr>
      <w:r>
        <w:rPr>
          <w:rFonts w:hint="eastAsia" w:ascii="宋体" w:hAnsi="宋体" w:cs="宋体"/>
          <w:color w:val="auto"/>
          <w:szCs w:val="21"/>
          <w:highlight w:val="none"/>
        </w:rPr>
        <w:t>（二）不准以任何理由为甲方和相关单位报销应由对方或个人支付的费用。</w:t>
      </w:r>
    </w:p>
    <w:p w14:paraId="3301F7FF">
      <w:pPr>
        <w:spacing w:line="500" w:lineRule="exact"/>
        <w:ind w:firstLine="420" w:firstLineChars="200"/>
        <w:rPr>
          <w:rFonts w:ascii="宋体" w:hAnsi="宋体" w:cs="宋体"/>
          <w:color w:val="auto"/>
          <w:szCs w:val="21"/>
          <w:highlight w:val="none"/>
        </w:rPr>
      </w:pPr>
      <w:r>
        <w:rPr>
          <w:rFonts w:hint="eastAsia" w:ascii="宋体" w:hAnsi="宋体" w:cs="宋体"/>
          <w:color w:val="auto"/>
          <w:szCs w:val="21"/>
          <w:highlight w:val="none"/>
        </w:rPr>
        <w:t>（三）不准接受或暗示为甲方、相关单位或个人装修住房、婚丧嫁娶、配偶子女的工作安排以及出国（境）、旅游等提供方便。</w:t>
      </w:r>
    </w:p>
    <w:p w14:paraId="3D5B1BB8">
      <w:pPr>
        <w:spacing w:line="500" w:lineRule="exact"/>
        <w:ind w:firstLine="420" w:firstLineChars="200"/>
        <w:rPr>
          <w:rFonts w:ascii="宋体" w:hAnsi="宋体" w:cs="宋体"/>
          <w:color w:val="auto"/>
          <w:szCs w:val="21"/>
          <w:highlight w:val="none"/>
        </w:rPr>
      </w:pPr>
      <w:r>
        <w:rPr>
          <w:rFonts w:hint="eastAsia" w:ascii="宋体" w:hAnsi="宋体" w:cs="宋体"/>
          <w:color w:val="auto"/>
          <w:szCs w:val="21"/>
          <w:highlight w:val="none"/>
        </w:rPr>
        <w:t>（四）不准以任何理由为甲方、相关单位或个人安排有可能影响公正执行公务的宴请、健身、娱乐等活动。</w:t>
      </w:r>
    </w:p>
    <w:p w14:paraId="4EF65C09">
      <w:pPr>
        <w:spacing w:line="500" w:lineRule="exact"/>
        <w:ind w:firstLine="420" w:firstLineChars="200"/>
        <w:rPr>
          <w:rFonts w:ascii="宋体" w:hAnsi="宋体" w:cs="宋体"/>
          <w:color w:val="auto"/>
          <w:szCs w:val="21"/>
          <w:highlight w:val="none"/>
        </w:rPr>
      </w:pPr>
      <w:r>
        <w:rPr>
          <w:rFonts w:hint="eastAsia" w:ascii="宋体" w:hAnsi="宋体" w:cs="宋体"/>
          <w:color w:val="auto"/>
          <w:szCs w:val="21"/>
          <w:highlight w:val="none"/>
        </w:rPr>
        <w:t>第四条  违约责任</w:t>
      </w:r>
    </w:p>
    <w:p w14:paraId="627B1763">
      <w:pPr>
        <w:spacing w:line="500" w:lineRule="exact"/>
        <w:ind w:firstLine="420" w:firstLineChars="200"/>
        <w:rPr>
          <w:rFonts w:ascii="宋体" w:hAnsi="宋体" w:cs="宋体"/>
          <w:color w:val="auto"/>
          <w:szCs w:val="21"/>
          <w:highlight w:val="none"/>
        </w:rPr>
      </w:pPr>
      <w:r>
        <w:rPr>
          <w:rFonts w:hint="eastAsia" w:ascii="宋体" w:hAnsi="宋体" w:cs="宋体"/>
          <w:color w:val="auto"/>
          <w:szCs w:val="21"/>
          <w:highlight w:val="none"/>
        </w:rPr>
        <w:t>（一）甲方工作人员有违反本责任书第一、二条责任行为的，按照管理权限，依据有关法律法规和规定给予党纪、政纪处分或组织处理；涉嫌犯罪的，移交司法机关追究刑事责任；给乙方单位造成经济损失的，应予以赔偿。</w:t>
      </w:r>
    </w:p>
    <w:p w14:paraId="17B242B5">
      <w:pPr>
        <w:spacing w:line="500" w:lineRule="exact"/>
        <w:ind w:firstLine="420" w:firstLineChars="200"/>
        <w:rPr>
          <w:rFonts w:ascii="宋体" w:hAnsi="宋体" w:cs="宋体"/>
          <w:color w:val="auto"/>
          <w:szCs w:val="21"/>
          <w:highlight w:val="none"/>
        </w:rPr>
      </w:pPr>
      <w:r>
        <w:rPr>
          <w:rFonts w:hint="eastAsia" w:ascii="宋体" w:hAnsi="宋体" w:cs="宋体"/>
          <w:color w:val="auto"/>
          <w:szCs w:val="21"/>
          <w:highlight w:val="none"/>
        </w:rPr>
        <w:t>（二）乙方工作人员有违反本责任书第一、三条责任行为的，按照管理权限，依据有关法律法规和规定给予党纪、政纪处分或组织处理；涉嫌犯罪的，移交司法机关追究刑事责任；给甲方单位造成经济损失的，应予以赔偿。</w:t>
      </w:r>
    </w:p>
    <w:p w14:paraId="5E5B48E4">
      <w:pPr>
        <w:spacing w:line="500" w:lineRule="exact"/>
        <w:ind w:firstLine="420" w:firstLineChars="200"/>
        <w:rPr>
          <w:rFonts w:ascii="宋体" w:hAnsi="宋体" w:cs="宋体"/>
          <w:color w:val="auto"/>
          <w:szCs w:val="21"/>
          <w:highlight w:val="none"/>
        </w:rPr>
      </w:pPr>
      <w:r>
        <w:rPr>
          <w:rFonts w:hint="eastAsia" w:ascii="宋体" w:hAnsi="宋体" w:cs="宋体"/>
          <w:color w:val="auto"/>
          <w:szCs w:val="21"/>
          <w:highlight w:val="none"/>
        </w:rPr>
        <w:t>第五条  本责任书作为工程施工合同的附件，与工程施工合同具有同等法律效力。经双方签署后立即生效。</w:t>
      </w:r>
    </w:p>
    <w:p w14:paraId="3FF703E8">
      <w:pPr>
        <w:spacing w:line="500" w:lineRule="exact"/>
        <w:ind w:firstLine="420" w:firstLineChars="200"/>
        <w:rPr>
          <w:rFonts w:ascii="宋体" w:hAnsi="宋体" w:cs="宋体"/>
          <w:color w:val="auto"/>
          <w:szCs w:val="21"/>
          <w:highlight w:val="none"/>
        </w:rPr>
      </w:pPr>
      <w:r>
        <w:rPr>
          <w:rFonts w:hint="eastAsia" w:ascii="宋体" w:hAnsi="宋体" w:cs="宋体"/>
          <w:color w:val="auto"/>
          <w:szCs w:val="21"/>
          <w:highlight w:val="none"/>
        </w:rPr>
        <w:t>第六条  本责任书的有效期为双方签署之日起至该工程项目竣工验收合同时止。</w:t>
      </w:r>
    </w:p>
    <w:p w14:paraId="34755006">
      <w:pPr>
        <w:spacing w:line="500" w:lineRule="exact"/>
        <w:ind w:firstLine="420" w:firstLineChars="200"/>
        <w:rPr>
          <w:rFonts w:ascii="宋体" w:hAnsi="宋体" w:cs="宋体"/>
          <w:color w:val="auto"/>
          <w:szCs w:val="21"/>
          <w:highlight w:val="none"/>
        </w:rPr>
      </w:pPr>
      <w:r>
        <w:rPr>
          <w:rFonts w:hint="eastAsia" w:ascii="宋体" w:hAnsi="宋体" w:cs="宋体"/>
          <w:color w:val="auto"/>
          <w:szCs w:val="21"/>
          <w:highlight w:val="none"/>
        </w:rPr>
        <w:t>第七条 本责任书一式四份，由甲乙双方各执一份，送交甲乙双方的监督单位各一份。</w:t>
      </w:r>
    </w:p>
    <w:p w14:paraId="1BC2735C">
      <w:pPr>
        <w:spacing w:line="500" w:lineRule="atLeast"/>
        <w:ind w:firstLine="420" w:firstLineChars="200"/>
        <w:rPr>
          <w:rFonts w:ascii="宋体" w:hAnsi="宋体" w:cs="宋体"/>
          <w:color w:val="auto"/>
          <w:szCs w:val="21"/>
          <w:highlight w:val="none"/>
        </w:rPr>
      </w:pPr>
      <w:r>
        <w:rPr>
          <w:rFonts w:hint="eastAsia" w:ascii="宋体" w:hAnsi="宋体" w:cs="宋体"/>
          <w:color w:val="auto"/>
          <w:szCs w:val="21"/>
          <w:highlight w:val="none"/>
        </w:rPr>
        <w:t xml:space="preserve"> 甲   方：                                乙   方：                     </w:t>
      </w:r>
    </w:p>
    <w:p w14:paraId="4327A42E">
      <w:pPr>
        <w:spacing w:line="500" w:lineRule="atLeast"/>
        <w:rPr>
          <w:rFonts w:ascii="宋体" w:hAnsi="宋体" w:cs="宋体"/>
          <w:color w:val="auto"/>
          <w:szCs w:val="21"/>
          <w:highlight w:val="none"/>
        </w:rPr>
      </w:pPr>
      <w:r>
        <w:rPr>
          <w:rFonts w:hint="eastAsia" w:ascii="宋体" w:hAnsi="宋体" w:cs="宋体"/>
          <w:color w:val="auto"/>
          <w:szCs w:val="21"/>
          <w:highlight w:val="none"/>
        </w:rPr>
        <w:t xml:space="preserve">     法定代表人                              法定代表人</w:t>
      </w:r>
    </w:p>
    <w:p w14:paraId="4E8048FD">
      <w:pPr>
        <w:spacing w:line="500" w:lineRule="atLeast"/>
        <w:rPr>
          <w:rFonts w:ascii="宋体" w:hAnsi="宋体" w:cs="宋体"/>
          <w:color w:val="auto"/>
          <w:szCs w:val="21"/>
          <w:highlight w:val="none"/>
        </w:rPr>
      </w:pPr>
      <w:r>
        <w:rPr>
          <w:rFonts w:hint="eastAsia" w:ascii="宋体" w:hAnsi="宋体" w:cs="宋体"/>
          <w:color w:val="auto"/>
          <w:szCs w:val="21"/>
          <w:highlight w:val="none"/>
        </w:rPr>
        <w:t xml:space="preserve">     或                                        或</w:t>
      </w:r>
    </w:p>
    <w:p w14:paraId="6B7BE651">
      <w:pPr>
        <w:spacing w:line="500" w:lineRule="atLeast"/>
        <w:rPr>
          <w:rFonts w:ascii="宋体" w:hAnsi="宋体" w:cs="宋体"/>
          <w:color w:val="auto"/>
          <w:szCs w:val="21"/>
          <w:highlight w:val="none"/>
        </w:rPr>
      </w:pPr>
      <w:r>
        <w:rPr>
          <w:rFonts w:hint="eastAsia" w:ascii="宋体" w:hAnsi="宋体" w:cs="宋体"/>
          <w:color w:val="auto"/>
          <w:szCs w:val="21"/>
          <w:highlight w:val="none"/>
        </w:rPr>
        <w:t xml:space="preserve">     其授权的代理人：                       其授权的代理人：</w:t>
      </w:r>
    </w:p>
    <w:p w14:paraId="1B679412">
      <w:pPr>
        <w:tabs>
          <w:tab w:val="left" w:pos="1740"/>
        </w:tabs>
        <w:spacing w:line="500" w:lineRule="atLeast"/>
        <w:rPr>
          <w:rFonts w:ascii="宋体" w:hAnsi="宋体" w:cs="宋体"/>
          <w:color w:val="auto"/>
          <w:szCs w:val="21"/>
          <w:highlight w:val="none"/>
        </w:rPr>
      </w:pPr>
    </w:p>
    <w:p w14:paraId="5D18146D">
      <w:pPr>
        <w:tabs>
          <w:tab w:val="left" w:pos="1740"/>
        </w:tabs>
        <w:spacing w:line="500" w:lineRule="atLeast"/>
        <w:rPr>
          <w:rFonts w:ascii="宋体" w:hAnsi="宋体" w:cs="宋体"/>
          <w:color w:val="auto"/>
          <w:szCs w:val="21"/>
          <w:highlight w:val="none"/>
        </w:rPr>
      </w:pPr>
    </w:p>
    <w:p w14:paraId="6D8793AA">
      <w:pPr>
        <w:tabs>
          <w:tab w:val="left" w:pos="1740"/>
        </w:tabs>
        <w:spacing w:line="500" w:lineRule="atLeast"/>
        <w:rPr>
          <w:rFonts w:ascii="宋体" w:hAnsi="宋体" w:cs="宋体"/>
          <w:color w:val="auto"/>
          <w:szCs w:val="21"/>
          <w:highlight w:val="none"/>
        </w:rPr>
      </w:pPr>
      <w:r>
        <w:rPr>
          <w:rFonts w:hint="eastAsia" w:ascii="宋体" w:hAnsi="宋体" w:cs="宋体"/>
          <w:color w:val="auto"/>
          <w:szCs w:val="21"/>
          <w:highlight w:val="none"/>
        </w:rPr>
        <w:t xml:space="preserve"> 附件3：</w:t>
      </w:r>
    </w:p>
    <w:p w14:paraId="77BABA8A">
      <w:pPr>
        <w:spacing w:line="500" w:lineRule="atLeast"/>
        <w:jc w:val="center"/>
        <w:rPr>
          <w:rFonts w:ascii="宋体" w:hAnsi="宋体" w:cs="宋体"/>
          <w:b/>
          <w:bCs/>
          <w:color w:val="auto"/>
          <w:szCs w:val="21"/>
          <w:highlight w:val="none"/>
        </w:rPr>
      </w:pPr>
      <w:r>
        <w:rPr>
          <w:rFonts w:hint="eastAsia" w:ascii="宋体" w:hAnsi="宋体" w:cs="宋体"/>
          <w:b/>
          <w:bCs/>
          <w:color w:val="auto"/>
          <w:szCs w:val="21"/>
          <w:highlight w:val="none"/>
        </w:rPr>
        <w:t>安全生产协议书</w:t>
      </w:r>
    </w:p>
    <w:p w14:paraId="54E48110">
      <w:pPr>
        <w:spacing w:line="500" w:lineRule="atLeast"/>
        <w:rPr>
          <w:rFonts w:ascii="宋体" w:hAnsi="宋体" w:cs="宋体"/>
          <w:color w:val="auto"/>
          <w:szCs w:val="21"/>
          <w:highlight w:val="none"/>
        </w:rPr>
      </w:pPr>
    </w:p>
    <w:p w14:paraId="7574CFBF">
      <w:pPr>
        <w:spacing w:line="384" w:lineRule="auto"/>
        <w:rPr>
          <w:rFonts w:ascii="宋体" w:hAnsi="宋体" w:cs="宋体"/>
          <w:color w:val="auto"/>
          <w:szCs w:val="21"/>
          <w:highlight w:val="none"/>
        </w:rPr>
      </w:pPr>
      <w:r>
        <w:rPr>
          <w:rFonts w:hint="eastAsia" w:ascii="宋体" w:hAnsi="宋体" w:cs="宋体"/>
          <w:color w:val="auto"/>
          <w:szCs w:val="21"/>
          <w:highlight w:val="none"/>
        </w:rPr>
        <w:t xml:space="preserve">    为在</w:t>
      </w:r>
      <w:r>
        <w:rPr>
          <w:rFonts w:hint="eastAsia" w:ascii="宋体" w:hAnsi="宋体" w:cs="宋体"/>
          <w:color w:val="auto"/>
          <w:szCs w:val="21"/>
          <w:highlight w:val="none"/>
          <w:u w:val="single"/>
        </w:rPr>
        <w:t xml:space="preserve">                  </w:t>
      </w:r>
      <w:r>
        <w:rPr>
          <w:rFonts w:hint="eastAsia" w:ascii="宋体" w:hAnsi="宋体" w:cs="宋体"/>
          <w:color w:val="auto"/>
          <w:szCs w:val="21"/>
          <w:highlight w:val="none"/>
        </w:rPr>
        <w:t>施工合同的实施过程中创造安全、高效的施工环境，切实搞好本项目的安全管理工作，本比选人</w:t>
      </w:r>
      <w:r>
        <w:rPr>
          <w:rFonts w:hint="eastAsia" w:ascii="宋体" w:hAnsi="宋体" w:cs="宋体"/>
          <w:color w:val="auto"/>
          <w:szCs w:val="21"/>
          <w:highlight w:val="none"/>
          <w:u w:val="single"/>
        </w:rPr>
        <w:t xml:space="preserve">             </w:t>
      </w:r>
      <w:r>
        <w:rPr>
          <w:rFonts w:hint="eastAsia" w:ascii="宋体" w:hAnsi="宋体" w:cs="宋体"/>
          <w:color w:val="auto"/>
          <w:szCs w:val="21"/>
          <w:highlight w:val="none"/>
        </w:rPr>
        <w:t>（以下简称：“甲方”）与承包人</w:t>
      </w:r>
      <w:r>
        <w:rPr>
          <w:rFonts w:hint="eastAsia" w:ascii="宋体" w:hAnsi="宋体" w:cs="宋体"/>
          <w:color w:val="auto"/>
          <w:szCs w:val="21"/>
          <w:highlight w:val="none"/>
          <w:u w:val="single"/>
        </w:rPr>
        <w:t xml:space="preserve">                          </w:t>
      </w:r>
      <w:r>
        <w:rPr>
          <w:rFonts w:hint="eastAsia" w:ascii="宋体" w:hAnsi="宋体" w:cs="宋体"/>
          <w:color w:val="auto"/>
          <w:szCs w:val="21"/>
          <w:highlight w:val="none"/>
        </w:rPr>
        <w:t>（以下简称“乙方”）特此签订安全生产合同。</w:t>
      </w:r>
    </w:p>
    <w:p w14:paraId="23194D6F">
      <w:pPr>
        <w:spacing w:line="500" w:lineRule="atLeast"/>
        <w:ind w:firstLine="422" w:firstLineChars="200"/>
        <w:rPr>
          <w:rFonts w:ascii="宋体" w:hAnsi="宋体" w:cs="宋体"/>
          <w:b/>
          <w:bCs/>
          <w:color w:val="auto"/>
          <w:szCs w:val="21"/>
          <w:highlight w:val="none"/>
        </w:rPr>
      </w:pPr>
      <w:r>
        <w:rPr>
          <w:rFonts w:hint="eastAsia" w:ascii="宋体" w:hAnsi="宋体" w:cs="宋体"/>
          <w:b/>
          <w:bCs/>
          <w:color w:val="auto"/>
          <w:szCs w:val="21"/>
          <w:highlight w:val="none"/>
        </w:rPr>
        <w:t>一、甲方责任</w:t>
      </w:r>
    </w:p>
    <w:p w14:paraId="4DDB3562">
      <w:pPr>
        <w:spacing w:line="500" w:lineRule="atLeast"/>
        <w:ind w:firstLine="420" w:firstLineChars="200"/>
        <w:rPr>
          <w:rFonts w:ascii="宋体" w:hAnsi="宋体" w:cs="宋体"/>
          <w:color w:val="auto"/>
          <w:szCs w:val="21"/>
          <w:highlight w:val="none"/>
        </w:rPr>
      </w:pPr>
      <w:r>
        <w:rPr>
          <w:rFonts w:hint="eastAsia" w:ascii="宋体" w:hAnsi="宋体" w:cs="宋体"/>
          <w:color w:val="auto"/>
          <w:szCs w:val="21"/>
          <w:highlight w:val="none"/>
        </w:rPr>
        <w:t>1、严格遵守国家有关安全生产的法律法规，认真执行工程承包合同中的有关安全要求。</w:t>
      </w:r>
    </w:p>
    <w:p w14:paraId="7E0740AC">
      <w:pPr>
        <w:spacing w:line="500" w:lineRule="atLeast"/>
        <w:ind w:firstLine="420" w:firstLineChars="200"/>
        <w:rPr>
          <w:rFonts w:ascii="宋体" w:hAnsi="宋体" w:cs="宋体"/>
          <w:color w:val="auto"/>
          <w:szCs w:val="21"/>
          <w:highlight w:val="none"/>
        </w:rPr>
      </w:pPr>
      <w:r>
        <w:rPr>
          <w:rFonts w:hint="eastAsia" w:ascii="宋体" w:hAnsi="宋体" w:cs="宋体"/>
          <w:color w:val="auto"/>
          <w:szCs w:val="21"/>
          <w:highlight w:val="none"/>
        </w:rPr>
        <w:t>2、按照“安全第一、预防为主”和坚持“管生产必须管安全”的原则进行安全生产管理，做到生产与安全工作同时计划、布置、检查、总结和评比。</w:t>
      </w:r>
    </w:p>
    <w:p w14:paraId="297AF2BC">
      <w:pPr>
        <w:spacing w:line="500" w:lineRule="atLeast"/>
        <w:ind w:firstLine="420" w:firstLineChars="200"/>
        <w:rPr>
          <w:rFonts w:ascii="宋体" w:hAnsi="宋体" w:cs="宋体"/>
          <w:color w:val="auto"/>
          <w:szCs w:val="21"/>
          <w:highlight w:val="none"/>
        </w:rPr>
      </w:pPr>
      <w:r>
        <w:rPr>
          <w:rFonts w:hint="eastAsia" w:ascii="宋体" w:hAnsi="宋体" w:cs="宋体"/>
          <w:color w:val="auto"/>
          <w:szCs w:val="21"/>
          <w:highlight w:val="none"/>
        </w:rPr>
        <w:t>3、重要的安全设施必须坚持与主体工程“三同时”的原则，即：同时设计、审批；同时施工，同时验收，投入使用。</w:t>
      </w:r>
    </w:p>
    <w:p w14:paraId="71710EAA">
      <w:pPr>
        <w:spacing w:line="500" w:lineRule="atLeast"/>
        <w:ind w:firstLine="420" w:firstLineChars="200"/>
        <w:rPr>
          <w:rFonts w:ascii="宋体" w:hAnsi="宋体" w:cs="宋体"/>
          <w:color w:val="auto"/>
          <w:szCs w:val="21"/>
          <w:highlight w:val="none"/>
        </w:rPr>
      </w:pPr>
      <w:r>
        <w:rPr>
          <w:rFonts w:hint="eastAsia" w:ascii="宋体" w:hAnsi="宋体" w:cs="宋体"/>
          <w:color w:val="auto"/>
          <w:szCs w:val="21"/>
          <w:highlight w:val="none"/>
        </w:rPr>
        <w:t>4、定期召开安全生产调度会，及时传达中央及地方有关安全生产的精神。</w:t>
      </w:r>
    </w:p>
    <w:p w14:paraId="11AAFD9C">
      <w:pPr>
        <w:spacing w:line="500" w:lineRule="atLeast"/>
        <w:ind w:firstLine="420" w:firstLineChars="200"/>
        <w:rPr>
          <w:rFonts w:ascii="宋体" w:hAnsi="宋体" w:cs="宋体"/>
          <w:color w:val="auto"/>
          <w:szCs w:val="21"/>
          <w:highlight w:val="none"/>
        </w:rPr>
      </w:pPr>
      <w:r>
        <w:rPr>
          <w:rFonts w:hint="eastAsia" w:ascii="宋体" w:hAnsi="宋体" w:cs="宋体"/>
          <w:color w:val="auto"/>
          <w:szCs w:val="21"/>
          <w:highlight w:val="none"/>
        </w:rPr>
        <w:t>5、组织对乙方施工现场安全生产检查，监督乙方及时处理发现的各种安全隐患。</w:t>
      </w:r>
    </w:p>
    <w:p w14:paraId="71189B6B">
      <w:pPr>
        <w:spacing w:line="500" w:lineRule="atLeast"/>
        <w:ind w:firstLine="422" w:firstLineChars="200"/>
        <w:rPr>
          <w:rFonts w:ascii="宋体" w:hAnsi="宋体" w:cs="宋体"/>
          <w:b/>
          <w:bCs/>
          <w:color w:val="auto"/>
          <w:szCs w:val="21"/>
          <w:highlight w:val="none"/>
        </w:rPr>
      </w:pPr>
      <w:r>
        <w:rPr>
          <w:rFonts w:hint="eastAsia" w:ascii="宋体" w:hAnsi="宋体" w:cs="宋体"/>
          <w:b/>
          <w:bCs/>
          <w:color w:val="auto"/>
          <w:szCs w:val="21"/>
          <w:highlight w:val="none"/>
        </w:rPr>
        <w:t>二、乙方职责</w:t>
      </w:r>
    </w:p>
    <w:p w14:paraId="7DCB723A">
      <w:pPr>
        <w:spacing w:line="500" w:lineRule="atLeast"/>
        <w:ind w:firstLine="420" w:firstLineChars="200"/>
        <w:rPr>
          <w:rFonts w:ascii="宋体" w:hAnsi="宋体" w:cs="宋体"/>
          <w:color w:val="auto"/>
          <w:szCs w:val="21"/>
          <w:highlight w:val="none"/>
        </w:rPr>
      </w:pPr>
      <w:r>
        <w:rPr>
          <w:rFonts w:hint="eastAsia" w:ascii="宋体" w:hAnsi="宋体" w:cs="宋体"/>
          <w:color w:val="auto"/>
          <w:szCs w:val="21"/>
          <w:highlight w:val="none"/>
        </w:rPr>
        <w:t>1、严格遵守国家有关安全生产的法律法规、有关安全生产的规定，认真执行工程承包合同中的有关安全要求。</w:t>
      </w:r>
    </w:p>
    <w:p w14:paraId="2C035BDF">
      <w:pPr>
        <w:spacing w:line="500" w:lineRule="atLeast"/>
        <w:ind w:firstLine="420" w:firstLineChars="200"/>
        <w:rPr>
          <w:rFonts w:ascii="宋体" w:hAnsi="宋体" w:cs="宋体"/>
          <w:color w:val="auto"/>
          <w:szCs w:val="21"/>
          <w:highlight w:val="none"/>
        </w:rPr>
      </w:pPr>
      <w:r>
        <w:rPr>
          <w:rFonts w:hint="eastAsia" w:ascii="宋体" w:hAnsi="宋体" w:cs="宋体"/>
          <w:color w:val="auto"/>
          <w:szCs w:val="21"/>
          <w:highlight w:val="none"/>
        </w:rPr>
        <w:t>2、坚持“安全第一、预防为主”和“管生产必须管安全”的原则，加强安全生产宣传教育，增强全员安全生产意识，建立健全各项安全生产的管理机械和安全生产管理制度，配备专职及兼职安全检查人员，有组织有领导地开展安全生产活动。各级领导、工程技术人员、生产管理人员和具体操作人员。必须熟悉和遵守本条款的各项规定，做到生产与安全工作同时计划、布置、检查、总结和评比。</w:t>
      </w:r>
    </w:p>
    <w:p w14:paraId="2AB7EB10">
      <w:pPr>
        <w:spacing w:line="500" w:lineRule="atLeast"/>
        <w:ind w:firstLine="420" w:firstLineChars="200"/>
        <w:rPr>
          <w:rFonts w:ascii="宋体" w:hAnsi="宋体" w:cs="宋体"/>
          <w:color w:val="auto"/>
          <w:szCs w:val="21"/>
          <w:highlight w:val="none"/>
        </w:rPr>
      </w:pPr>
      <w:r>
        <w:rPr>
          <w:rFonts w:hint="eastAsia" w:ascii="宋体" w:hAnsi="宋体" w:cs="宋体"/>
          <w:color w:val="auto"/>
          <w:szCs w:val="21"/>
          <w:highlight w:val="none"/>
        </w:rPr>
        <w:t>3、建立健全安全生产责任制。从派往项目实施的项目经理到生产工人（包括临时雇请的民工）的安全生产管理系统必须做到纵向到底，一环不漏；各职能部门、人员的安全生产责任制做到横向到边，人人有责。项目经理是安全生产的第一责任人。现场设置的安全机构，应按施工人员的1%~3%配备安全员，专职负责所有员工的安全和治安保卫工作及预防事故的发生。安全机构人员，有权按有关规定发布指令，并采取保护性措施防止事故发生。</w:t>
      </w:r>
    </w:p>
    <w:p w14:paraId="679ABBD7">
      <w:pPr>
        <w:spacing w:line="500" w:lineRule="atLeast"/>
        <w:ind w:firstLine="420" w:firstLineChars="200"/>
        <w:rPr>
          <w:rFonts w:ascii="宋体" w:hAnsi="宋体" w:cs="宋体"/>
          <w:color w:val="auto"/>
          <w:szCs w:val="21"/>
          <w:highlight w:val="none"/>
        </w:rPr>
      </w:pPr>
      <w:r>
        <w:rPr>
          <w:rFonts w:hint="eastAsia" w:ascii="宋体" w:hAnsi="宋体" w:cs="宋体"/>
          <w:color w:val="auto"/>
          <w:szCs w:val="21"/>
          <w:highlight w:val="none"/>
        </w:rPr>
        <w:t>4、乙方在任何时侯都应采取各种合理的预防措施，防止其员工发生任何违法、违禁、暴力或妨碍治安的行为。</w:t>
      </w:r>
    </w:p>
    <w:p w14:paraId="50701E9F">
      <w:pPr>
        <w:spacing w:line="500" w:lineRule="atLeast"/>
        <w:ind w:firstLine="420" w:firstLineChars="200"/>
        <w:rPr>
          <w:rFonts w:ascii="宋体" w:hAnsi="宋体" w:cs="宋体"/>
          <w:color w:val="auto"/>
          <w:szCs w:val="21"/>
          <w:highlight w:val="none"/>
        </w:rPr>
      </w:pPr>
      <w:r>
        <w:rPr>
          <w:rFonts w:hint="eastAsia" w:ascii="宋体" w:hAnsi="宋体" w:cs="宋体"/>
          <w:color w:val="auto"/>
          <w:szCs w:val="21"/>
          <w:highlight w:val="none"/>
        </w:rPr>
        <w:t>5、乙方必须具有劳动安全管理部门颁发的安全生产证书，参加施工的人员，必须按受安全技术教育，熟知和遵守本工程的各项安全技术操作规程，定期进行安全技术考核，合格者方准上岗操作，对于从事特殊工种的人员，须经过专业培训，获得《安全操作合格证》后，持证上岗。施工现场发现特种作业无证操作现象时，项目经理必须承担管理责任。</w:t>
      </w:r>
    </w:p>
    <w:p w14:paraId="48F7A2DB">
      <w:pPr>
        <w:spacing w:line="500" w:lineRule="atLeast"/>
        <w:ind w:firstLine="420" w:firstLineChars="200"/>
        <w:rPr>
          <w:rFonts w:ascii="宋体" w:hAnsi="宋体" w:cs="宋体"/>
          <w:color w:val="auto"/>
          <w:szCs w:val="21"/>
          <w:highlight w:val="none"/>
        </w:rPr>
      </w:pPr>
      <w:r>
        <w:rPr>
          <w:rFonts w:hint="eastAsia" w:ascii="宋体" w:hAnsi="宋体" w:cs="宋体"/>
          <w:color w:val="auto"/>
          <w:szCs w:val="21"/>
          <w:highlight w:val="none"/>
        </w:rPr>
        <w:t>6、对于易燃易爆的材料除应专门妥善保管之外，还应配备有足够的消防设施，所有施工人员都应熟悉消防设备的性能和使用方法；乙方不得将任何种类的爆炸物给予、易货或以其他方式转让给任何其他人，或允许、容忍上述同样行为。</w:t>
      </w:r>
    </w:p>
    <w:p w14:paraId="17950E43">
      <w:pPr>
        <w:spacing w:line="500" w:lineRule="atLeast"/>
        <w:ind w:firstLine="420" w:firstLineChars="200"/>
        <w:rPr>
          <w:rFonts w:ascii="宋体" w:hAnsi="宋体" w:cs="宋体"/>
          <w:color w:val="auto"/>
          <w:szCs w:val="21"/>
          <w:highlight w:val="none"/>
        </w:rPr>
      </w:pPr>
      <w:r>
        <w:rPr>
          <w:rFonts w:hint="eastAsia" w:ascii="宋体" w:hAnsi="宋体" w:cs="宋体"/>
          <w:color w:val="auto"/>
          <w:szCs w:val="21"/>
          <w:highlight w:val="none"/>
        </w:rPr>
        <w:t>7、操作人员上岗，必须按规定穿戴防护用品。施工负责人和安全检查员应随时检查劳动防护用品的穿戴情况，不按规定穿戴防护用品的人员不得上岗。</w:t>
      </w:r>
    </w:p>
    <w:p w14:paraId="7EA37185">
      <w:pPr>
        <w:spacing w:line="500" w:lineRule="atLeast"/>
        <w:ind w:firstLine="420" w:firstLineChars="200"/>
        <w:rPr>
          <w:rFonts w:ascii="宋体" w:hAnsi="宋体" w:cs="宋体"/>
          <w:color w:val="auto"/>
          <w:szCs w:val="21"/>
          <w:highlight w:val="none"/>
        </w:rPr>
      </w:pPr>
      <w:r>
        <w:rPr>
          <w:rFonts w:hint="eastAsia" w:ascii="宋体" w:hAnsi="宋体" w:cs="宋体"/>
          <w:color w:val="auto"/>
          <w:szCs w:val="21"/>
          <w:highlight w:val="none"/>
        </w:rPr>
        <w:t>8、所有施工机具设备均应定期检查，并有安全员的签字记录，保证其经常处于完好状态；不合格的机具、设备和劳动保护用品严禁使用。</w:t>
      </w:r>
    </w:p>
    <w:p w14:paraId="018B5696">
      <w:pPr>
        <w:spacing w:line="500" w:lineRule="atLeast"/>
        <w:ind w:firstLine="420" w:firstLineChars="200"/>
        <w:rPr>
          <w:rFonts w:ascii="宋体" w:hAnsi="宋体" w:cs="宋体"/>
          <w:color w:val="auto"/>
          <w:szCs w:val="21"/>
          <w:highlight w:val="none"/>
        </w:rPr>
      </w:pPr>
      <w:r>
        <w:rPr>
          <w:rFonts w:hint="eastAsia" w:ascii="宋体" w:hAnsi="宋体" w:cs="宋体"/>
          <w:color w:val="auto"/>
          <w:szCs w:val="21"/>
          <w:highlight w:val="none"/>
        </w:rPr>
        <w:t>9、施工中采用新技术、新工艺、新设备、新材料时，必须制定相应的安全技术措施，施工现场必须具有相关的安全标志牌。</w:t>
      </w:r>
    </w:p>
    <w:p w14:paraId="3DF1293A">
      <w:pPr>
        <w:spacing w:line="500" w:lineRule="atLeast"/>
        <w:ind w:firstLine="420" w:firstLineChars="200"/>
        <w:rPr>
          <w:rFonts w:ascii="宋体" w:hAnsi="宋体" w:cs="宋体"/>
          <w:color w:val="auto"/>
          <w:szCs w:val="21"/>
          <w:highlight w:val="none"/>
        </w:rPr>
      </w:pPr>
      <w:r>
        <w:rPr>
          <w:rFonts w:hint="eastAsia" w:ascii="宋体" w:hAnsi="宋体" w:cs="宋体"/>
          <w:color w:val="auto"/>
          <w:szCs w:val="21"/>
          <w:highlight w:val="none"/>
        </w:rPr>
        <w:t>10、乙方必须按照本工程项目特点，组织制定本工程实施中的生产安全事故应急救援预案；如果发生安全事故，应按照《国务院关于特大安全事故行政责任追究的规定》以及其它有关规定，及时上报有关部门，并坚持“三不放过”的原则，严肃处理相关责任过失。</w:t>
      </w:r>
    </w:p>
    <w:p w14:paraId="28CD0D4A">
      <w:pPr>
        <w:spacing w:line="500" w:lineRule="atLeast"/>
        <w:ind w:firstLine="422" w:firstLineChars="200"/>
        <w:rPr>
          <w:rFonts w:ascii="宋体" w:hAnsi="宋体" w:cs="宋体"/>
          <w:b/>
          <w:bCs/>
          <w:color w:val="auto"/>
          <w:szCs w:val="21"/>
          <w:highlight w:val="none"/>
        </w:rPr>
      </w:pPr>
      <w:r>
        <w:rPr>
          <w:rFonts w:hint="eastAsia" w:ascii="宋体" w:hAnsi="宋体" w:cs="宋体"/>
          <w:b/>
          <w:bCs/>
          <w:color w:val="auto"/>
          <w:szCs w:val="21"/>
          <w:highlight w:val="none"/>
        </w:rPr>
        <w:t>三、违约责任</w:t>
      </w:r>
    </w:p>
    <w:p w14:paraId="52CB67E1">
      <w:pPr>
        <w:spacing w:line="500" w:lineRule="atLeast"/>
        <w:ind w:firstLine="420" w:firstLineChars="200"/>
        <w:rPr>
          <w:rFonts w:ascii="宋体" w:hAnsi="宋体" w:cs="宋体"/>
          <w:color w:val="auto"/>
          <w:szCs w:val="21"/>
          <w:highlight w:val="none"/>
        </w:rPr>
      </w:pPr>
      <w:r>
        <w:rPr>
          <w:rFonts w:hint="eastAsia" w:ascii="宋体" w:hAnsi="宋体" w:cs="宋体"/>
          <w:color w:val="auto"/>
          <w:szCs w:val="21"/>
          <w:highlight w:val="none"/>
        </w:rPr>
        <w:t xml:space="preserve">如因甲方或乙方违约造成安全事故，将依法追究责任。由双方法定代表人或其授权的代理人签署与加盖公章后生效，全部工程竣工验收后失效。 </w:t>
      </w:r>
    </w:p>
    <w:p w14:paraId="0BB009B1">
      <w:pPr>
        <w:spacing w:line="500" w:lineRule="atLeast"/>
        <w:rPr>
          <w:rFonts w:ascii="宋体" w:hAnsi="宋体" w:cs="宋体"/>
          <w:color w:val="auto"/>
          <w:szCs w:val="21"/>
          <w:highlight w:val="none"/>
        </w:rPr>
      </w:pPr>
      <w:r>
        <w:rPr>
          <w:rFonts w:hint="eastAsia" w:ascii="宋体" w:hAnsi="宋体" w:cs="宋体"/>
          <w:color w:val="auto"/>
          <w:szCs w:val="21"/>
          <w:highlight w:val="none"/>
        </w:rPr>
        <w:t xml:space="preserve">     甲   方：                                乙   方：                     </w:t>
      </w:r>
    </w:p>
    <w:p w14:paraId="4266922A">
      <w:pPr>
        <w:spacing w:line="500" w:lineRule="atLeast"/>
        <w:rPr>
          <w:rFonts w:ascii="宋体" w:hAnsi="宋体" w:cs="宋体"/>
          <w:color w:val="auto"/>
          <w:szCs w:val="21"/>
          <w:highlight w:val="none"/>
        </w:rPr>
      </w:pPr>
      <w:r>
        <w:rPr>
          <w:rFonts w:hint="eastAsia" w:ascii="宋体" w:hAnsi="宋体" w:cs="宋体"/>
          <w:color w:val="auto"/>
          <w:szCs w:val="21"/>
          <w:highlight w:val="none"/>
        </w:rPr>
        <w:t xml:space="preserve">     法定代表人                              法定代表人</w:t>
      </w:r>
    </w:p>
    <w:p w14:paraId="14273139">
      <w:pPr>
        <w:spacing w:line="500" w:lineRule="atLeast"/>
        <w:rPr>
          <w:rFonts w:ascii="宋体" w:hAnsi="宋体" w:cs="宋体"/>
          <w:color w:val="auto"/>
          <w:szCs w:val="21"/>
          <w:highlight w:val="none"/>
        </w:rPr>
      </w:pPr>
      <w:r>
        <w:rPr>
          <w:rFonts w:hint="eastAsia" w:ascii="宋体" w:hAnsi="宋体" w:cs="宋体"/>
          <w:color w:val="auto"/>
          <w:szCs w:val="21"/>
          <w:highlight w:val="none"/>
        </w:rPr>
        <w:t xml:space="preserve">     或                                        或</w:t>
      </w:r>
    </w:p>
    <w:p w14:paraId="3461F1BE">
      <w:pPr>
        <w:spacing w:line="500" w:lineRule="atLeast"/>
        <w:rPr>
          <w:rFonts w:ascii="宋体" w:hAnsi="宋体" w:cs="宋体"/>
          <w:color w:val="auto"/>
          <w:szCs w:val="21"/>
          <w:highlight w:val="none"/>
        </w:rPr>
      </w:pPr>
      <w:r>
        <w:rPr>
          <w:rFonts w:hint="eastAsia" w:ascii="宋体" w:hAnsi="宋体" w:cs="宋体"/>
          <w:color w:val="auto"/>
          <w:szCs w:val="21"/>
          <w:highlight w:val="none"/>
        </w:rPr>
        <w:t xml:space="preserve">     其授权的代理人：                       其授权的代理人：                 </w:t>
      </w:r>
    </w:p>
    <w:p w14:paraId="7B5F079C">
      <w:pPr>
        <w:autoSpaceDE w:val="0"/>
        <w:autoSpaceDN w:val="0"/>
        <w:adjustRightInd w:val="0"/>
        <w:spacing w:line="480" w:lineRule="exact"/>
        <w:rPr>
          <w:rFonts w:ascii="宋体" w:hAnsi="宋体" w:cs="宋体"/>
          <w:bCs/>
          <w:color w:val="auto"/>
          <w:szCs w:val="21"/>
          <w:highlight w:val="none"/>
        </w:rPr>
      </w:pPr>
      <w:r>
        <w:rPr>
          <w:rFonts w:hint="eastAsia" w:ascii="宋体" w:hAnsi="宋体" w:cs="宋体"/>
          <w:color w:val="auto"/>
          <w:szCs w:val="21"/>
          <w:highlight w:val="none"/>
        </w:rPr>
        <w:t xml:space="preserve">                       </w:t>
      </w:r>
      <w:r>
        <w:rPr>
          <w:rFonts w:hint="eastAsia" w:ascii="宋体" w:hAnsi="宋体" w:cs="宋体"/>
          <w:b/>
          <w:color w:val="auto"/>
          <w:szCs w:val="21"/>
          <w:highlight w:val="none"/>
        </w:rPr>
        <w:t xml:space="preserve">                           </w:t>
      </w:r>
    </w:p>
    <w:p w14:paraId="0A41C00D">
      <w:pPr>
        <w:spacing w:line="360" w:lineRule="auto"/>
        <w:ind w:left="1329" w:hanging="1329" w:hangingChars="633"/>
        <w:rPr>
          <w:rFonts w:ascii="宋体" w:hAnsi="宋体" w:cs="宋体"/>
          <w:color w:val="auto"/>
          <w:szCs w:val="21"/>
          <w:highlight w:val="none"/>
        </w:rPr>
      </w:pPr>
    </w:p>
    <w:p w14:paraId="5E416557">
      <w:pPr>
        <w:spacing w:line="360" w:lineRule="auto"/>
        <w:ind w:left="1329" w:hanging="1329" w:hangingChars="633"/>
        <w:rPr>
          <w:rFonts w:ascii="宋体" w:hAnsi="宋体" w:cs="宋体"/>
          <w:color w:val="auto"/>
          <w:szCs w:val="21"/>
          <w:highlight w:val="none"/>
        </w:rPr>
      </w:pPr>
    </w:p>
    <w:p w14:paraId="11BD966D">
      <w:pPr>
        <w:spacing w:line="360" w:lineRule="auto"/>
        <w:ind w:left="1329" w:hanging="1329" w:hangingChars="633"/>
        <w:rPr>
          <w:rFonts w:ascii="宋体" w:hAnsi="宋体" w:cs="宋体"/>
          <w:color w:val="auto"/>
          <w:szCs w:val="21"/>
          <w:highlight w:val="none"/>
        </w:rPr>
      </w:pPr>
    </w:p>
    <w:p w14:paraId="5B7BF366">
      <w:pPr>
        <w:spacing w:line="480" w:lineRule="auto"/>
        <w:rPr>
          <w:rFonts w:ascii="宋体" w:hAnsi="宋体"/>
          <w:color w:val="auto"/>
          <w:szCs w:val="21"/>
          <w:highlight w:val="none"/>
        </w:rPr>
      </w:pPr>
      <w:r>
        <w:rPr>
          <w:rFonts w:hint="eastAsia" w:ascii="宋体" w:hAnsi="宋体" w:cs="宋体"/>
          <w:color w:val="auto"/>
          <w:sz w:val="44"/>
          <w:szCs w:val="44"/>
          <w:highlight w:val="none"/>
        </w:rPr>
        <w:br w:type="page"/>
      </w:r>
      <w:r>
        <w:rPr>
          <w:rFonts w:hint="eastAsia" w:ascii="宋体" w:hAnsi="宋体"/>
          <w:color w:val="auto"/>
          <w:szCs w:val="21"/>
          <w:highlight w:val="none"/>
        </w:rPr>
        <w:t>附件4：安全管理协议</w:t>
      </w:r>
    </w:p>
    <w:p w14:paraId="294BAC2D">
      <w:pPr>
        <w:spacing w:before="120" w:beforeLines="50" w:after="120" w:afterLines="50" w:line="480" w:lineRule="auto"/>
        <w:jc w:val="center"/>
        <w:rPr>
          <w:rFonts w:ascii="宋体" w:hAnsi="宋体"/>
          <w:color w:val="auto"/>
          <w:szCs w:val="21"/>
          <w:highlight w:val="none"/>
        </w:rPr>
      </w:pPr>
      <w:bookmarkStart w:id="1416" w:name="_Toc239510288"/>
      <w:bookmarkStart w:id="1417" w:name="_Toc435689499"/>
      <w:bookmarkStart w:id="1418" w:name="_Toc247431422"/>
      <w:bookmarkStart w:id="1419" w:name="_Toc435690184"/>
      <w:bookmarkStart w:id="1420" w:name="_Toc448406299"/>
      <w:bookmarkStart w:id="1421" w:name="_Toc336680145"/>
      <w:r>
        <w:rPr>
          <w:rFonts w:hint="eastAsia" w:ascii="宋体" w:hAnsi="宋体"/>
          <w:color w:val="auto"/>
          <w:szCs w:val="21"/>
          <w:highlight w:val="none"/>
        </w:rPr>
        <w:t>安全管理协议</w:t>
      </w:r>
      <w:bookmarkEnd w:id="1416"/>
      <w:bookmarkEnd w:id="1417"/>
      <w:bookmarkEnd w:id="1418"/>
      <w:bookmarkEnd w:id="1419"/>
      <w:bookmarkEnd w:id="1420"/>
      <w:bookmarkEnd w:id="1421"/>
    </w:p>
    <w:p w14:paraId="2D8599CD">
      <w:pPr>
        <w:snapToGrid w:val="0"/>
        <w:spacing w:line="360" w:lineRule="auto"/>
        <w:ind w:firstLine="422" w:firstLineChars="200"/>
        <w:rPr>
          <w:rFonts w:ascii="宋体" w:hAnsi="宋体"/>
          <w:b/>
          <w:color w:val="auto"/>
          <w:szCs w:val="21"/>
          <w:highlight w:val="none"/>
          <w:u w:val="single"/>
        </w:rPr>
      </w:pPr>
      <w:r>
        <w:rPr>
          <w:rFonts w:hint="eastAsia" w:ascii="宋体" w:hAnsi="宋体"/>
          <w:b/>
          <w:color w:val="auto"/>
          <w:szCs w:val="21"/>
          <w:highlight w:val="none"/>
        </w:rPr>
        <w:t>发包人（全称）：</w:t>
      </w:r>
      <w:r>
        <w:rPr>
          <w:rFonts w:hint="eastAsia" w:ascii="宋体" w:hAnsi="宋体"/>
          <w:color w:val="auto"/>
          <w:szCs w:val="21"/>
          <w:highlight w:val="none"/>
          <w:u w:val="single"/>
        </w:rPr>
        <w:t xml:space="preserve">                             </w:t>
      </w:r>
    </w:p>
    <w:p w14:paraId="07358D56">
      <w:pPr>
        <w:snapToGrid w:val="0"/>
        <w:spacing w:line="360" w:lineRule="auto"/>
        <w:ind w:firstLine="422" w:firstLineChars="200"/>
        <w:rPr>
          <w:rFonts w:ascii="宋体" w:hAnsi="宋体"/>
          <w:b/>
          <w:color w:val="auto"/>
          <w:szCs w:val="21"/>
          <w:highlight w:val="none"/>
          <w:u w:val="single"/>
        </w:rPr>
      </w:pPr>
      <w:r>
        <w:rPr>
          <w:rFonts w:hint="eastAsia" w:ascii="宋体" w:hAnsi="宋体"/>
          <w:b/>
          <w:color w:val="auto"/>
          <w:szCs w:val="21"/>
          <w:highlight w:val="none"/>
        </w:rPr>
        <w:t>承包人（全称）：</w:t>
      </w:r>
      <w:r>
        <w:rPr>
          <w:rFonts w:hint="eastAsia" w:ascii="宋体" w:hAnsi="宋体"/>
          <w:color w:val="auto"/>
          <w:szCs w:val="21"/>
          <w:highlight w:val="none"/>
          <w:u w:val="single"/>
        </w:rPr>
        <w:t xml:space="preserve">                             </w:t>
      </w:r>
    </w:p>
    <w:p w14:paraId="52F34E7A">
      <w:pPr>
        <w:spacing w:line="360" w:lineRule="auto"/>
        <w:ind w:firstLine="420" w:firstLineChars="200"/>
        <w:jc w:val="left"/>
        <w:rPr>
          <w:rFonts w:ascii="宋体" w:hAnsi="宋体"/>
          <w:color w:val="auto"/>
          <w:szCs w:val="21"/>
          <w:highlight w:val="none"/>
        </w:rPr>
      </w:pPr>
      <w:r>
        <w:rPr>
          <w:rFonts w:hint="eastAsia" w:ascii="宋体" w:hAnsi="宋体"/>
          <w:color w:val="auto"/>
          <w:szCs w:val="21"/>
          <w:highlight w:val="none"/>
        </w:rPr>
        <w:t>为了确保实现</w:t>
      </w:r>
      <w:r>
        <w:rPr>
          <w:rFonts w:hint="eastAsia" w:ascii="宋体" w:hAnsi="宋体"/>
          <w:color w:val="auto"/>
          <w:szCs w:val="21"/>
          <w:highlight w:val="none"/>
          <w:u w:val="single"/>
        </w:rPr>
        <w:t xml:space="preserve">        </w:t>
      </w:r>
      <w:r>
        <w:rPr>
          <w:rFonts w:hint="eastAsia" w:ascii="宋体" w:hAnsi="宋体"/>
          <w:color w:val="auto"/>
          <w:szCs w:val="21"/>
          <w:highlight w:val="none"/>
        </w:rPr>
        <w:t>安全生产目标，进一步明确双方的安全管理责任，加强安全生产管理工作的协调、管理力度，</w:t>
      </w:r>
      <w:r>
        <w:rPr>
          <w:rFonts w:hint="eastAsia" w:ascii="宋体" w:hAnsi="宋体"/>
          <w:color w:val="auto"/>
          <w:szCs w:val="21"/>
          <w:highlight w:val="none"/>
          <w:u w:val="single"/>
        </w:rPr>
        <w:t xml:space="preserve">        </w:t>
      </w:r>
      <w:r>
        <w:rPr>
          <w:rFonts w:hint="eastAsia" w:ascii="宋体" w:hAnsi="宋体"/>
          <w:color w:val="auto"/>
          <w:szCs w:val="21"/>
          <w:highlight w:val="none"/>
        </w:rPr>
        <w:t>（以下简称“发包人”）与</w:t>
      </w:r>
      <w:r>
        <w:rPr>
          <w:rFonts w:hint="eastAsia" w:ascii="宋体" w:hAnsi="宋体"/>
          <w:color w:val="auto"/>
          <w:szCs w:val="21"/>
          <w:highlight w:val="none"/>
          <w:u w:val="single"/>
        </w:rPr>
        <w:t xml:space="preserve">        </w:t>
      </w:r>
      <w:r>
        <w:rPr>
          <w:rFonts w:hint="eastAsia" w:ascii="宋体" w:hAnsi="宋体"/>
          <w:color w:val="auto"/>
          <w:szCs w:val="21"/>
          <w:highlight w:val="none"/>
        </w:rPr>
        <w:t>（以下简称“承包人”）依据国家安全生产相关的法律、法规和安全方面的强制性国家标准或行业标准，双方同意签订该协议作为正式合同安全管理方面的补充规定，并承诺本协议具有与合同相同的法律效力。具体条款如下：</w:t>
      </w:r>
    </w:p>
    <w:p w14:paraId="06A56821">
      <w:pPr>
        <w:spacing w:line="360" w:lineRule="auto"/>
        <w:ind w:firstLine="420" w:firstLineChars="200"/>
        <w:rPr>
          <w:rFonts w:ascii="宋体" w:hAnsi="宋体"/>
          <w:color w:val="auto"/>
          <w:szCs w:val="21"/>
          <w:highlight w:val="none"/>
        </w:rPr>
      </w:pPr>
      <w:bookmarkStart w:id="1422" w:name="_Toc247431423"/>
      <w:bookmarkStart w:id="1423" w:name="_Toc532375700"/>
      <w:bookmarkStart w:id="1424" w:name="_Toc247418263"/>
      <w:bookmarkStart w:id="1425" w:name="_Toc239510289"/>
      <w:r>
        <w:rPr>
          <w:rFonts w:hint="eastAsia" w:ascii="宋体" w:hAnsi="宋体"/>
          <w:color w:val="auto"/>
          <w:szCs w:val="21"/>
          <w:highlight w:val="none"/>
        </w:rPr>
        <w:t>一、协议有效期限</w:t>
      </w:r>
      <w:bookmarkEnd w:id="1422"/>
      <w:bookmarkEnd w:id="1423"/>
      <w:bookmarkEnd w:id="1424"/>
      <w:bookmarkEnd w:id="1425"/>
    </w:p>
    <w:p w14:paraId="7E818895">
      <w:pPr>
        <w:spacing w:line="360" w:lineRule="auto"/>
        <w:ind w:firstLine="420" w:firstLineChars="200"/>
        <w:jc w:val="left"/>
        <w:rPr>
          <w:rFonts w:ascii="宋体" w:hAnsi="宋体"/>
          <w:color w:val="auto"/>
          <w:szCs w:val="21"/>
          <w:highlight w:val="none"/>
        </w:rPr>
      </w:pPr>
      <w:r>
        <w:rPr>
          <w:rFonts w:hint="eastAsia" w:ascii="宋体" w:hAnsi="宋体"/>
          <w:color w:val="auto"/>
          <w:szCs w:val="21"/>
          <w:highlight w:val="none"/>
        </w:rPr>
        <w:t>本协议中所涉及的安全管理责任自合同签订之日起开始生效，至合同工程全部完工验收且经发包人与承包人签订移交协议生效后之日终止。</w:t>
      </w:r>
    </w:p>
    <w:p w14:paraId="33B1AA15">
      <w:pPr>
        <w:spacing w:line="360" w:lineRule="auto"/>
        <w:ind w:firstLine="420" w:firstLineChars="200"/>
        <w:rPr>
          <w:rFonts w:ascii="宋体" w:hAnsi="宋体"/>
          <w:color w:val="auto"/>
          <w:szCs w:val="21"/>
          <w:highlight w:val="none"/>
        </w:rPr>
      </w:pPr>
      <w:bookmarkStart w:id="1426" w:name="_Toc239510290"/>
      <w:bookmarkStart w:id="1427" w:name="_Toc247418264"/>
      <w:bookmarkStart w:id="1428" w:name="_Toc532375701"/>
      <w:bookmarkStart w:id="1429" w:name="_Toc247431424"/>
      <w:r>
        <w:rPr>
          <w:rFonts w:hint="eastAsia" w:ascii="宋体" w:hAnsi="宋体"/>
          <w:color w:val="auto"/>
          <w:szCs w:val="21"/>
          <w:highlight w:val="none"/>
        </w:rPr>
        <w:t>二、责任目标</w:t>
      </w:r>
      <w:bookmarkEnd w:id="1426"/>
      <w:bookmarkEnd w:id="1427"/>
      <w:bookmarkEnd w:id="1428"/>
      <w:bookmarkEnd w:id="1429"/>
    </w:p>
    <w:p w14:paraId="3025604F">
      <w:pPr>
        <w:spacing w:line="360" w:lineRule="auto"/>
        <w:ind w:firstLine="420" w:firstLineChars="200"/>
        <w:jc w:val="left"/>
        <w:rPr>
          <w:rFonts w:ascii="宋体" w:hAnsi="宋体"/>
          <w:color w:val="auto"/>
          <w:szCs w:val="21"/>
          <w:highlight w:val="none"/>
        </w:rPr>
      </w:pPr>
      <w:r>
        <w:rPr>
          <w:rFonts w:hint="eastAsia" w:ascii="宋体" w:hAnsi="宋体"/>
          <w:color w:val="auto"/>
          <w:szCs w:val="21"/>
          <w:highlight w:val="none"/>
        </w:rPr>
        <w:t>（一）承包人承诺承担和履行合同和发包人所规定的安全责任，且满足要求。</w:t>
      </w:r>
    </w:p>
    <w:p w14:paraId="20CDA38D">
      <w:pPr>
        <w:spacing w:line="360" w:lineRule="auto"/>
        <w:ind w:firstLine="420" w:firstLineChars="200"/>
        <w:jc w:val="left"/>
        <w:rPr>
          <w:rFonts w:ascii="宋体" w:hAnsi="宋体"/>
          <w:color w:val="auto"/>
          <w:szCs w:val="21"/>
          <w:highlight w:val="none"/>
        </w:rPr>
      </w:pPr>
      <w:r>
        <w:rPr>
          <w:rFonts w:hint="eastAsia" w:ascii="宋体" w:hAnsi="宋体"/>
          <w:color w:val="auto"/>
          <w:szCs w:val="21"/>
          <w:highlight w:val="none"/>
        </w:rPr>
        <w:t>（二）承包人的安全控制目标是确保本工程在实施过程中：</w:t>
      </w:r>
    </w:p>
    <w:p w14:paraId="4CAB7055">
      <w:pPr>
        <w:spacing w:line="360" w:lineRule="auto"/>
        <w:ind w:firstLine="420" w:firstLineChars="200"/>
        <w:jc w:val="left"/>
        <w:rPr>
          <w:rFonts w:ascii="宋体" w:hAnsi="宋体"/>
          <w:color w:val="auto"/>
          <w:szCs w:val="21"/>
          <w:highlight w:val="none"/>
        </w:rPr>
      </w:pPr>
      <w:r>
        <w:rPr>
          <w:rFonts w:hint="eastAsia" w:ascii="宋体" w:hAnsi="宋体"/>
          <w:color w:val="auto"/>
          <w:szCs w:val="21"/>
          <w:highlight w:val="none"/>
        </w:rPr>
        <w:t>1．不发生人身重伤事故；</w:t>
      </w:r>
    </w:p>
    <w:p w14:paraId="7B8A5DF5">
      <w:pPr>
        <w:spacing w:line="360" w:lineRule="auto"/>
        <w:ind w:firstLine="420" w:firstLineChars="200"/>
        <w:jc w:val="left"/>
        <w:rPr>
          <w:rFonts w:ascii="宋体" w:hAnsi="宋体"/>
          <w:color w:val="auto"/>
          <w:szCs w:val="21"/>
          <w:highlight w:val="none"/>
        </w:rPr>
      </w:pPr>
      <w:r>
        <w:rPr>
          <w:rFonts w:hint="eastAsia" w:ascii="宋体" w:hAnsi="宋体"/>
          <w:color w:val="auto"/>
          <w:szCs w:val="21"/>
          <w:highlight w:val="none"/>
        </w:rPr>
        <w:t>2．不发生火灾事故；</w:t>
      </w:r>
    </w:p>
    <w:p w14:paraId="2F6A00CC">
      <w:pPr>
        <w:spacing w:line="360" w:lineRule="auto"/>
        <w:ind w:firstLine="420" w:firstLineChars="200"/>
        <w:jc w:val="left"/>
        <w:rPr>
          <w:rFonts w:ascii="宋体" w:hAnsi="宋体"/>
          <w:color w:val="auto"/>
          <w:szCs w:val="21"/>
          <w:highlight w:val="none"/>
        </w:rPr>
      </w:pPr>
      <w:r>
        <w:rPr>
          <w:rFonts w:hint="eastAsia" w:ascii="宋体" w:hAnsi="宋体"/>
          <w:color w:val="auto"/>
          <w:szCs w:val="21"/>
          <w:highlight w:val="none"/>
        </w:rPr>
        <w:t>3．不发生负有同等及以上事故责任的造成人身重伤的一般交通事故；</w:t>
      </w:r>
    </w:p>
    <w:p w14:paraId="07848DD9">
      <w:pPr>
        <w:spacing w:line="360" w:lineRule="auto"/>
        <w:ind w:firstLine="420" w:firstLineChars="200"/>
        <w:jc w:val="left"/>
        <w:rPr>
          <w:rFonts w:ascii="宋体" w:hAnsi="宋体"/>
          <w:color w:val="auto"/>
          <w:szCs w:val="21"/>
          <w:highlight w:val="none"/>
        </w:rPr>
      </w:pPr>
      <w:r>
        <w:rPr>
          <w:rFonts w:hint="eastAsia" w:ascii="宋体" w:hAnsi="宋体"/>
          <w:color w:val="auto"/>
          <w:szCs w:val="21"/>
          <w:highlight w:val="none"/>
        </w:rPr>
        <w:t>4．不发生集体食物中毒事件（同时5人及以上的食物中毒）；</w:t>
      </w:r>
    </w:p>
    <w:p w14:paraId="2A97A35D">
      <w:pPr>
        <w:spacing w:line="360" w:lineRule="auto"/>
        <w:ind w:firstLine="420" w:firstLineChars="200"/>
        <w:jc w:val="left"/>
        <w:rPr>
          <w:rFonts w:ascii="宋体" w:hAnsi="宋体"/>
          <w:color w:val="auto"/>
          <w:szCs w:val="21"/>
          <w:highlight w:val="none"/>
        </w:rPr>
      </w:pPr>
      <w:r>
        <w:rPr>
          <w:rFonts w:hint="eastAsia" w:ascii="宋体" w:hAnsi="宋体"/>
          <w:color w:val="auto"/>
          <w:szCs w:val="21"/>
          <w:highlight w:val="none"/>
        </w:rPr>
        <w:t>5．不发生流行性传染病 （无甲型传染病、其他常见传染病未形成多人同时患病）；</w:t>
      </w:r>
    </w:p>
    <w:p w14:paraId="1EFD2043">
      <w:pPr>
        <w:spacing w:line="360" w:lineRule="auto"/>
        <w:ind w:firstLine="420" w:firstLineChars="200"/>
        <w:jc w:val="left"/>
        <w:rPr>
          <w:rFonts w:ascii="宋体" w:hAnsi="宋体"/>
          <w:color w:val="auto"/>
          <w:szCs w:val="21"/>
          <w:highlight w:val="none"/>
        </w:rPr>
      </w:pPr>
      <w:r>
        <w:rPr>
          <w:rFonts w:hint="eastAsia" w:ascii="宋体" w:hAnsi="宋体"/>
          <w:color w:val="auto"/>
          <w:szCs w:val="21"/>
          <w:highlight w:val="none"/>
        </w:rPr>
        <w:t>6．不发生重大环境污染事件（生活、工业垃圾及其他污染物造成环境污染和大面积水土流失）；</w:t>
      </w:r>
    </w:p>
    <w:p w14:paraId="55A77AAD">
      <w:pPr>
        <w:spacing w:line="360" w:lineRule="auto"/>
        <w:ind w:firstLine="420" w:firstLineChars="200"/>
        <w:jc w:val="left"/>
        <w:rPr>
          <w:rFonts w:ascii="宋体" w:hAnsi="宋体"/>
          <w:color w:val="auto"/>
          <w:szCs w:val="21"/>
          <w:highlight w:val="none"/>
        </w:rPr>
      </w:pPr>
      <w:r>
        <w:rPr>
          <w:rFonts w:hint="eastAsia" w:ascii="宋体" w:hAnsi="宋体"/>
          <w:color w:val="auto"/>
          <w:szCs w:val="21"/>
          <w:highlight w:val="none"/>
        </w:rPr>
        <w:t>7．不发生对施工区附近生产、生活造成重大影响的事件（如造成重大设备损坏、重大财产损失、人员伤害等）；</w:t>
      </w:r>
    </w:p>
    <w:p w14:paraId="1165F2E5">
      <w:pPr>
        <w:spacing w:line="360" w:lineRule="auto"/>
        <w:ind w:firstLine="420" w:firstLineChars="200"/>
        <w:jc w:val="left"/>
        <w:rPr>
          <w:rFonts w:ascii="宋体" w:hAnsi="宋体"/>
          <w:color w:val="auto"/>
          <w:szCs w:val="21"/>
          <w:highlight w:val="none"/>
        </w:rPr>
      </w:pPr>
      <w:r>
        <w:rPr>
          <w:rFonts w:hint="eastAsia" w:ascii="宋体" w:hAnsi="宋体"/>
          <w:color w:val="auto"/>
          <w:szCs w:val="21"/>
          <w:highlight w:val="none"/>
        </w:rPr>
        <w:t>8．不发生治安保卫事件（构成刑事拘留及以上的事件、盗窃直接损失超过1万元人民币的事件）。</w:t>
      </w:r>
    </w:p>
    <w:p w14:paraId="55DEB8A8">
      <w:pPr>
        <w:spacing w:line="360" w:lineRule="auto"/>
        <w:ind w:firstLine="420" w:firstLineChars="200"/>
        <w:jc w:val="left"/>
        <w:rPr>
          <w:rFonts w:ascii="宋体" w:hAnsi="宋体"/>
          <w:color w:val="auto"/>
          <w:szCs w:val="21"/>
          <w:highlight w:val="none"/>
        </w:rPr>
      </w:pPr>
      <w:bookmarkStart w:id="1430" w:name="_Toc247418265"/>
      <w:bookmarkStart w:id="1431" w:name="_Toc247431425"/>
      <w:bookmarkStart w:id="1432" w:name="_Toc239510291"/>
      <w:r>
        <w:rPr>
          <w:rFonts w:hint="eastAsia" w:ascii="宋体" w:hAnsi="宋体"/>
          <w:color w:val="auto"/>
          <w:szCs w:val="21"/>
          <w:highlight w:val="none"/>
        </w:rPr>
        <w:t>（三）承包人承诺在施工中控制以下安全事故的发生：</w:t>
      </w:r>
      <w:bookmarkEnd w:id="1430"/>
      <w:bookmarkEnd w:id="1431"/>
      <w:bookmarkEnd w:id="1432"/>
    </w:p>
    <w:p w14:paraId="5F4278E9">
      <w:pPr>
        <w:spacing w:line="360" w:lineRule="auto"/>
        <w:ind w:firstLine="420" w:firstLineChars="200"/>
        <w:jc w:val="left"/>
        <w:rPr>
          <w:rFonts w:ascii="宋体" w:hAnsi="宋体"/>
          <w:color w:val="auto"/>
          <w:szCs w:val="21"/>
          <w:highlight w:val="none"/>
        </w:rPr>
      </w:pPr>
      <w:r>
        <w:rPr>
          <w:rFonts w:hint="eastAsia" w:ascii="宋体" w:hAnsi="宋体"/>
          <w:color w:val="auto"/>
          <w:szCs w:val="21"/>
          <w:highlight w:val="none"/>
        </w:rPr>
        <w:t>1．人员轻伤事故。</w:t>
      </w:r>
    </w:p>
    <w:p w14:paraId="458327B4">
      <w:pPr>
        <w:spacing w:line="360" w:lineRule="auto"/>
        <w:ind w:firstLine="420" w:firstLineChars="200"/>
        <w:jc w:val="left"/>
        <w:rPr>
          <w:rFonts w:ascii="宋体" w:hAnsi="宋体"/>
          <w:color w:val="auto"/>
          <w:szCs w:val="21"/>
          <w:highlight w:val="none"/>
        </w:rPr>
      </w:pPr>
      <w:r>
        <w:rPr>
          <w:rFonts w:hint="eastAsia" w:ascii="宋体" w:hAnsi="宋体"/>
          <w:color w:val="auto"/>
          <w:szCs w:val="21"/>
          <w:highlight w:val="none"/>
        </w:rPr>
        <w:t>2．负有同等及以上事故责任的人身轻伤交通事故。</w:t>
      </w:r>
    </w:p>
    <w:p w14:paraId="430D5E77">
      <w:pPr>
        <w:spacing w:line="360" w:lineRule="auto"/>
        <w:ind w:firstLine="420" w:firstLineChars="200"/>
        <w:jc w:val="left"/>
        <w:rPr>
          <w:rFonts w:ascii="宋体" w:hAnsi="宋体"/>
          <w:color w:val="auto"/>
          <w:szCs w:val="21"/>
          <w:highlight w:val="none"/>
        </w:rPr>
      </w:pPr>
      <w:r>
        <w:rPr>
          <w:rFonts w:hint="eastAsia" w:ascii="宋体" w:hAnsi="宋体"/>
          <w:color w:val="auto"/>
          <w:szCs w:val="21"/>
          <w:highlight w:val="none"/>
        </w:rPr>
        <w:t>3．其他安全未遂事故和异常事件。</w:t>
      </w:r>
    </w:p>
    <w:p w14:paraId="479A91B7">
      <w:pPr>
        <w:spacing w:line="360" w:lineRule="auto"/>
        <w:ind w:firstLine="420" w:firstLineChars="200"/>
        <w:rPr>
          <w:rFonts w:ascii="宋体" w:hAnsi="宋体"/>
          <w:color w:val="auto"/>
          <w:szCs w:val="21"/>
          <w:highlight w:val="none"/>
        </w:rPr>
      </w:pPr>
      <w:bookmarkStart w:id="1433" w:name="_Toc247418266"/>
      <w:bookmarkStart w:id="1434" w:name="_Toc239510292"/>
      <w:bookmarkStart w:id="1435" w:name="_Toc532375702"/>
      <w:bookmarkStart w:id="1436" w:name="_Toc247431426"/>
      <w:r>
        <w:rPr>
          <w:rFonts w:hint="eastAsia" w:ascii="宋体" w:hAnsi="宋体"/>
          <w:color w:val="auto"/>
          <w:szCs w:val="21"/>
          <w:highlight w:val="none"/>
        </w:rPr>
        <w:t>三、安全责任</w:t>
      </w:r>
      <w:bookmarkEnd w:id="1433"/>
      <w:bookmarkEnd w:id="1434"/>
      <w:bookmarkEnd w:id="1435"/>
      <w:bookmarkEnd w:id="1436"/>
    </w:p>
    <w:p w14:paraId="600CC638">
      <w:pPr>
        <w:spacing w:line="360" w:lineRule="auto"/>
        <w:ind w:firstLine="420" w:firstLineChars="200"/>
        <w:jc w:val="left"/>
        <w:rPr>
          <w:rFonts w:ascii="宋体" w:hAnsi="宋体"/>
          <w:color w:val="auto"/>
          <w:szCs w:val="21"/>
          <w:highlight w:val="none"/>
        </w:rPr>
      </w:pPr>
      <w:r>
        <w:rPr>
          <w:rFonts w:hint="eastAsia" w:ascii="宋体" w:hAnsi="宋体"/>
          <w:color w:val="auto"/>
          <w:szCs w:val="21"/>
          <w:highlight w:val="none"/>
        </w:rPr>
        <w:t>1．承包人负有安全生产的管理责任和直接责任。</w:t>
      </w:r>
    </w:p>
    <w:p w14:paraId="5CC926A2">
      <w:pPr>
        <w:spacing w:line="360" w:lineRule="auto"/>
        <w:ind w:firstLine="420" w:firstLineChars="200"/>
        <w:jc w:val="left"/>
        <w:rPr>
          <w:rFonts w:ascii="宋体" w:hAnsi="宋体"/>
          <w:color w:val="auto"/>
          <w:szCs w:val="21"/>
          <w:highlight w:val="none"/>
        </w:rPr>
      </w:pPr>
      <w:r>
        <w:rPr>
          <w:rFonts w:hint="eastAsia" w:ascii="宋体" w:hAnsi="宋体"/>
          <w:color w:val="auto"/>
          <w:szCs w:val="21"/>
          <w:highlight w:val="none"/>
        </w:rPr>
        <w:t>2．承包人的法人或签署合同的公司总经理或受委托的代理人对合同安全负有全面的领导责任。</w:t>
      </w:r>
    </w:p>
    <w:p w14:paraId="4D31B9D0">
      <w:pPr>
        <w:spacing w:line="360" w:lineRule="auto"/>
        <w:ind w:firstLine="420" w:firstLineChars="200"/>
        <w:jc w:val="left"/>
        <w:rPr>
          <w:rFonts w:ascii="宋体" w:hAnsi="宋体"/>
          <w:color w:val="auto"/>
          <w:szCs w:val="21"/>
          <w:highlight w:val="none"/>
        </w:rPr>
      </w:pPr>
      <w:r>
        <w:rPr>
          <w:rFonts w:hint="eastAsia" w:ascii="宋体" w:hAnsi="宋体"/>
          <w:color w:val="auto"/>
          <w:szCs w:val="21"/>
          <w:highlight w:val="none"/>
        </w:rPr>
        <w:t>3．承包人项目经理对施工现场的安全工作负有全面的直接领导责任。</w:t>
      </w:r>
    </w:p>
    <w:p w14:paraId="3ABDA2F6">
      <w:pPr>
        <w:spacing w:line="360" w:lineRule="auto"/>
        <w:ind w:firstLine="420" w:firstLineChars="200"/>
        <w:jc w:val="left"/>
        <w:rPr>
          <w:rFonts w:ascii="宋体" w:hAnsi="宋体"/>
          <w:color w:val="auto"/>
          <w:szCs w:val="21"/>
          <w:highlight w:val="none"/>
        </w:rPr>
      </w:pPr>
      <w:r>
        <w:rPr>
          <w:rFonts w:hint="eastAsia" w:ascii="宋体" w:hAnsi="宋体"/>
          <w:color w:val="auto"/>
          <w:szCs w:val="21"/>
          <w:highlight w:val="none"/>
        </w:rPr>
        <w:t>4．承包人保证执行“谁施工、谁负责”的施工安全原则。</w:t>
      </w:r>
    </w:p>
    <w:p w14:paraId="4B178E26">
      <w:pPr>
        <w:spacing w:line="360" w:lineRule="auto"/>
        <w:ind w:firstLine="420" w:firstLineChars="200"/>
        <w:jc w:val="left"/>
        <w:rPr>
          <w:rFonts w:ascii="宋体" w:hAnsi="宋体"/>
          <w:color w:val="auto"/>
          <w:szCs w:val="21"/>
          <w:highlight w:val="none"/>
        </w:rPr>
      </w:pPr>
      <w:r>
        <w:rPr>
          <w:rFonts w:hint="eastAsia" w:ascii="宋体" w:hAnsi="宋体"/>
          <w:color w:val="auto"/>
          <w:szCs w:val="21"/>
          <w:highlight w:val="none"/>
        </w:rPr>
        <w:t>5．承包人保证服从发包人对安全工作的统一协调和管理。</w:t>
      </w:r>
    </w:p>
    <w:p w14:paraId="72A435EA">
      <w:pPr>
        <w:spacing w:line="360" w:lineRule="auto"/>
        <w:ind w:firstLine="420" w:firstLineChars="200"/>
        <w:jc w:val="left"/>
        <w:rPr>
          <w:rFonts w:ascii="宋体" w:hAnsi="宋体"/>
          <w:color w:val="auto"/>
          <w:szCs w:val="21"/>
          <w:highlight w:val="none"/>
        </w:rPr>
      </w:pPr>
      <w:r>
        <w:rPr>
          <w:rFonts w:hint="eastAsia" w:ascii="宋体" w:hAnsi="宋体"/>
          <w:color w:val="auto"/>
          <w:szCs w:val="21"/>
          <w:highlight w:val="none"/>
        </w:rPr>
        <w:t>6．承包人保证对本工程项目安全生产条件及其管理资源自行投入，保证安全资金的专款专用。</w:t>
      </w:r>
    </w:p>
    <w:p w14:paraId="5713FBAF">
      <w:pPr>
        <w:spacing w:line="360" w:lineRule="auto"/>
        <w:ind w:firstLine="420" w:firstLineChars="200"/>
        <w:jc w:val="left"/>
        <w:rPr>
          <w:rFonts w:ascii="宋体" w:hAnsi="宋体"/>
          <w:color w:val="auto"/>
          <w:szCs w:val="21"/>
          <w:highlight w:val="none"/>
        </w:rPr>
      </w:pPr>
      <w:r>
        <w:rPr>
          <w:rFonts w:hint="eastAsia" w:ascii="宋体" w:hAnsi="宋体"/>
          <w:color w:val="auto"/>
          <w:szCs w:val="21"/>
          <w:highlight w:val="none"/>
        </w:rPr>
        <w:t>7．承包人保证建立本工程项目的安全管理体系及安全保证体系（注：项目安全管理大纲/手册、管理性的程序文件等）。</w:t>
      </w:r>
    </w:p>
    <w:p w14:paraId="5DB791CD">
      <w:pPr>
        <w:spacing w:line="360" w:lineRule="auto"/>
        <w:ind w:firstLine="420" w:firstLineChars="200"/>
        <w:jc w:val="left"/>
        <w:rPr>
          <w:rFonts w:ascii="宋体" w:hAnsi="宋体"/>
          <w:color w:val="auto"/>
          <w:szCs w:val="21"/>
          <w:highlight w:val="none"/>
        </w:rPr>
      </w:pPr>
      <w:r>
        <w:rPr>
          <w:rFonts w:hint="eastAsia" w:ascii="宋体" w:hAnsi="宋体"/>
          <w:color w:val="auto"/>
          <w:szCs w:val="21"/>
          <w:highlight w:val="none"/>
        </w:rPr>
        <w:t>8．承包人保证现场的安全管理专职人员必须持有建设主管部门安全生产培训考核合格证书。</w:t>
      </w:r>
    </w:p>
    <w:p w14:paraId="28B3CAC0">
      <w:pPr>
        <w:spacing w:line="360" w:lineRule="auto"/>
        <w:ind w:firstLine="420" w:firstLineChars="200"/>
        <w:jc w:val="left"/>
        <w:rPr>
          <w:rFonts w:ascii="宋体" w:hAnsi="宋体"/>
          <w:color w:val="auto"/>
          <w:szCs w:val="21"/>
          <w:highlight w:val="none"/>
        </w:rPr>
      </w:pPr>
      <w:r>
        <w:rPr>
          <w:rFonts w:hint="eastAsia" w:ascii="宋体" w:hAnsi="宋体"/>
          <w:color w:val="auto"/>
          <w:szCs w:val="21"/>
          <w:highlight w:val="none"/>
        </w:rPr>
        <w:t>9．承包人保证为现场所有工作人员（含分包商员工及劳务人员）配备符合国家标准的有承包人和/或其下属分包商标志的个人基本劳动保护用品。</w:t>
      </w:r>
    </w:p>
    <w:p w14:paraId="69DA5E93">
      <w:pPr>
        <w:spacing w:line="360" w:lineRule="auto"/>
        <w:ind w:firstLine="420" w:firstLineChars="200"/>
        <w:jc w:val="left"/>
        <w:rPr>
          <w:rFonts w:ascii="宋体" w:hAnsi="宋体"/>
          <w:color w:val="auto"/>
          <w:szCs w:val="21"/>
          <w:highlight w:val="none"/>
        </w:rPr>
      </w:pPr>
      <w:r>
        <w:rPr>
          <w:rFonts w:hint="eastAsia" w:ascii="宋体" w:hAnsi="宋体"/>
          <w:color w:val="auto"/>
          <w:szCs w:val="21"/>
          <w:highlight w:val="none"/>
        </w:rPr>
        <w:t>10．承包人保证按照国家法律规定为现场所有工作人员（含分包商员工及劳务人员）购买意外伤害保险。</w:t>
      </w:r>
    </w:p>
    <w:p w14:paraId="185E21A9">
      <w:pPr>
        <w:spacing w:line="360" w:lineRule="auto"/>
        <w:ind w:firstLine="420" w:firstLineChars="200"/>
        <w:jc w:val="left"/>
        <w:rPr>
          <w:rFonts w:ascii="宋体" w:hAnsi="宋体"/>
          <w:color w:val="auto"/>
          <w:szCs w:val="21"/>
          <w:highlight w:val="none"/>
        </w:rPr>
      </w:pPr>
      <w:r>
        <w:rPr>
          <w:rFonts w:hint="eastAsia" w:ascii="宋体" w:hAnsi="宋体"/>
          <w:color w:val="auto"/>
          <w:szCs w:val="21"/>
          <w:highlight w:val="none"/>
        </w:rPr>
        <w:t>11．承包人保证施工生活营地（包括自建的和租用的营地）满足消防、安全用电、卫生防疫、防暴雨、防雷击等方面的安全要求。</w:t>
      </w:r>
    </w:p>
    <w:p w14:paraId="07FCA43F">
      <w:pPr>
        <w:spacing w:line="360" w:lineRule="auto"/>
        <w:ind w:firstLine="420" w:firstLineChars="200"/>
        <w:jc w:val="left"/>
        <w:rPr>
          <w:rFonts w:ascii="宋体" w:hAnsi="宋体"/>
          <w:color w:val="auto"/>
          <w:szCs w:val="21"/>
          <w:highlight w:val="none"/>
        </w:rPr>
      </w:pPr>
      <w:r>
        <w:rPr>
          <w:rFonts w:hint="eastAsia" w:ascii="宋体" w:hAnsi="宋体"/>
          <w:color w:val="auto"/>
          <w:szCs w:val="21"/>
          <w:highlight w:val="none"/>
        </w:rPr>
        <w:t>12．承包人保证对带入现场的设备、工具、材料按照国家法规和标准进行检测、试验，并持有法定部门出具的检验证书。</w:t>
      </w:r>
    </w:p>
    <w:p w14:paraId="30B15E2C">
      <w:pPr>
        <w:spacing w:line="360" w:lineRule="auto"/>
        <w:ind w:firstLine="420" w:firstLineChars="200"/>
        <w:jc w:val="left"/>
        <w:rPr>
          <w:rFonts w:ascii="宋体" w:hAnsi="宋体"/>
          <w:color w:val="auto"/>
          <w:szCs w:val="21"/>
          <w:highlight w:val="none"/>
        </w:rPr>
      </w:pPr>
      <w:r>
        <w:rPr>
          <w:rFonts w:hint="eastAsia" w:ascii="宋体" w:hAnsi="宋体"/>
          <w:color w:val="auto"/>
          <w:szCs w:val="21"/>
          <w:highlight w:val="none"/>
        </w:rPr>
        <w:t>13．承包人保证制订施工现场的文明施工措施，保护环境、树木和植被，保持施工现场的良好秩序和整洁的作业环境。</w:t>
      </w:r>
    </w:p>
    <w:p w14:paraId="67AF9988">
      <w:pPr>
        <w:spacing w:line="360" w:lineRule="auto"/>
        <w:ind w:firstLine="420" w:firstLineChars="200"/>
        <w:jc w:val="left"/>
        <w:rPr>
          <w:rFonts w:ascii="宋体" w:hAnsi="宋体"/>
          <w:color w:val="auto"/>
          <w:szCs w:val="21"/>
          <w:highlight w:val="none"/>
        </w:rPr>
      </w:pPr>
      <w:r>
        <w:rPr>
          <w:rFonts w:hint="eastAsia" w:ascii="宋体" w:hAnsi="宋体"/>
          <w:color w:val="auto"/>
          <w:szCs w:val="21"/>
          <w:highlight w:val="none"/>
        </w:rPr>
        <w:t>14．承包人负责在施工过程中与当地政府、周边群众及其他承包商保持良好的沟通和交流。承包人遇到与周边群众发生纠纷时，应负责协调工作，确保工程能够顺利进行。</w:t>
      </w:r>
    </w:p>
    <w:p w14:paraId="13B8F087">
      <w:pPr>
        <w:spacing w:line="360" w:lineRule="auto"/>
        <w:ind w:firstLine="420" w:firstLineChars="200"/>
        <w:rPr>
          <w:rFonts w:ascii="宋体" w:hAnsi="宋体"/>
          <w:color w:val="auto"/>
          <w:szCs w:val="21"/>
          <w:highlight w:val="none"/>
        </w:rPr>
      </w:pPr>
      <w:bookmarkStart w:id="1437" w:name="_Toc532375703"/>
      <w:bookmarkStart w:id="1438" w:name="_Toc239510293"/>
      <w:bookmarkStart w:id="1439" w:name="_Toc247418267"/>
      <w:bookmarkStart w:id="1440" w:name="_Toc247431427"/>
      <w:r>
        <w:rPr>
          <w:rFonts w:hint="eastAsia" w:ascii="宋体" w:hAnsi="宋体"/>
          <w:color w:val="auto"/>
          <w:szCs w:val="21"/>
          <w:highlight w:val="none"/>
        </w:rPr>
        <w:t>四、接口及协调</w:t>
      </w:r>
      <w:bookmarkEnd w:id="1437"/>
      <w:bookmarkEnd w:id="1438"/>
      <w:bookmarkEnd w:id="1439"/>
      <w:bookmarkEnd w:id="1440"/>
    </w:p>
    <w:p w14:paraId="01172781">
      <w:pPr>
        <w:spacing w:line="360" w:lineRule="auto"/>
        <w:ind w:firstLine="420" w:firstLineChars="200"/>
        <w:jc w:val="left"/>
        <w:rPr>
          <w:rFonts w:ascii="宋体" w:hAnsi="宋体"/>
          <w:color w:val="auto"/>
          <w:szCs w:val="21"/>
          <w:highlight w:val="none"/>
        </w:rPr>
      </w:pPr>
      <w:r>
        <w:rPr>
          <w:rFonts w:hint="eastAsia" w:ascii="宋体" w:hAnsi="宋体"/>
          <w:color w:val="auto"/>
          <w:szCs w:val="21"/>
          <w:highlight w:val="none"/>
        </w:rPr>
        <w:t>1．发包人委托监理公司对该工程实施监理，监理公司在安全管理方面代表发包人行使监督检查职能，承包人必须给予配合和支持。</w:t>
      </w:r>
    </w:p>
    <w:p w14:paraId="27EE9B89">
      <w:pPr>
        <w:spacing w:line="360" w:lineRule="auto"/>
        <w:ind w:firstLine="420" w:firstLineChars="200"/>
        <w:jc w:val="left"/>
        <w:rPr>
          <w:rFonts w:ascii="宋体" w:hAnsi="宋体"/>
          <w:color w:val="auto"/>
          <w:szCs w:val="21"/>
          <w:highlight w:val="none"/>
        </w:rPr>
      </w:pPr>
      <w:r>
        <w:rPr>
          <w:rFonts w:hint="eastAsia" w:ascii="宋体" w:hAnsi="宋体"/>
          <w:color w:val="auto"/>
          <w:szCs w:val="21"/>
          <w:highlight w:val="none"/>
        </w:rPr>
        <w:t>2．承包人人员、车辆的出入，带入现场的设备、机具、材料，在现场使用的或直接管理的办公、生活、生产性设施的安全管理须满足发包人现场管理的基本要求。</w:t>
      </w:r>
    </w:p>
    <w:p w14:paraId="5EB04146">
      <w:pPr>
        <w:spacing w:line="360" w:lineRule="auto"/>
        <w:ind w:firstLine="420" w:firstLineChars="200"/>
        <w:jc w:val="left"/>
        <w:rPr>
          <w:rFonts w:ascii="宋体" w:hAnsi="宋体"/>
          <w:color w:val="auto"/>
          <w:szCs w:val="21"/>
          <w:highlight w:val="none"/>
        </w:rPr>
      </w:pPr>
      <w:r>
        <w:rPr>
          <w:rFonts w:hint="eastAsia" w:ascii="宋体" w:hAnsi="宋体"/>
          <w:color w:val="auto"/>
          <w:szCs w:val="21"/>
          <w:highlight w:val="none"/>
        </w:rPr>
        <w:t>3．承包人应指定专职安全管理人员与发包人委托的监理公司接口，参与安全协调和管理。安全协调和管理的内容包括职业健康、工业安全、消防安全、卫生防疫、交通安全、环境保护、治安保卫等各方面。</w:t>
      </w:r>
    </w:p>
    <w:p w14:paraId="431090DD">
      <w:pPr>
        <w:spacing w:line="360" w:lineRule="auto"/>
        <w:ind w:firstLine="420" w:firstLineChars="200"/>
        <w:jc w:val="left"/>
        <w:rPr>
          <w:rFonts w:ascii="宋体" w:hAnsi="宋体"/>
          <w:color w:val="auto"/>
          <w:szCs w:val="21"/>
          <w:highlight w:val="none"/>
        </w:rPr>
      </w:pPr>
      <w:r>
        <w:rPr>
          <w:rFonts w:hint="eastAsia" w:ascii="宋体" w:hAnsi="宋体"/>
          <w:color w:val="auto"/>
          <w:szCs w:val="21"/>
          <w:highlight w:val="none"/>
        </w:rPr>
        <w:t>4．承包人的专职安全管理人员应具备协调安全工作的能力和授权。发包人委托的监理公司有权对专职安全管理人员的能力和权力做出评价，对于不能胜任的专职安全管理人员，发包人委托的监理公司有权要求承包人换人。</w:t>
      </w:r>
    </w:p>
    <w:p w14:paraId="3B99B544">
      <w:pPr>
        <w:spacing w:line="360" w:lineRule="auto"/>
        <w:ind w:firstLine="420" w:firstLineChars="200"/>
        <w:jc w:val="left"/>
        <w:rPr>
          <w:rFonts w:ascii="宋体" w:hAnsi="宋体"/>
          <w:color w:val="auto"/>
          <w:szCs w:val="21"/>
          <w:highlight w:val="none"/>
        </w:rPr>
      </w:pPr>
      <w:r>
        <w:rPr>
          <w:rFonts w:hint="eastAsia" w:ascii="宋体" w:hAnsi="宋体"/>
          <w:color w:val="auto"/>
          <w:szCs w:val="21"/>
          <w:highlight w:val="none"/>
        </w:rPr>
        <w:t>5．承包人指定的专职安全管理人员应与发包人委托的监理公司建立联系，在业务上接受发包人委托的监理公司的协调和指导。</w:t>
      </w:r>
    </w:p>
    <w:p w14:paraId="0ED24E1D">
      <w:pPr>
        <w:spacing w:line="360" w:lineRule="auto"/>
        <w:ind w:firstLine="420" w:firstLineChars="200"/>
        <w:jc w:val="left"/>
        <w:rPr>
          <w:rFonts w:ascii="宋体" w:hAnsi="宋体"/>
          <w:color w:val="auto"/>
          <w:szCs w:val="21"/>
          <w:highlight w:val="none"/>
        </w:rPr>
      </w:pPr>
      <w:r>
        <w:rPr>
          <w:rFonts w:hint="eastAsia" w:ascii="宋体" w:hAnsi="宋体"/>
          <w:color w:val="auto"/>
          <w:szCs w:val="21"/>
          <w:highlight w:val="none"/>
        </w:rPr>
        <w:t>6．开工后承包人的专职安全管理人员应按照发包人委托的监理公司的规定，定期报送安全月度快报、季报、年报和各种专项事故报告等。</w:t>
      </w:r>
    </w:p>
    <w:p w14:paraId="510B607F">
      <w:pPr>
        <w:spacing w:line="360" w:lineRule="auto"/>
        <w:ind w:firstLine="420" w:firstLineChars="200"/>
        <w:jc w:val="left"/>
        <w:rPr>
          <w:rFonts w:ascii="宋体" w:hAnsi="宋体"/>
          <w:color w:val="auto"/>
          <w:szCs w:val="21"/>
          <w:highlight w:val="none"/>
        </w:rPr>
      </w:pPr>
      <w:r>
        <w:rPr>
          <w:rFonts w:hint="eastAsia" w:ascii="宋体" w:hAnsi="宋体"/>
          <w:color w:val="auto"/>
          <w:szCs w:val="21"/>
          <w:highlight w:val="none"/>
        </w:rPr>
        <w:t>7．在工程实体未全部正式移交发包人施工管理部门之前，承包人依旧对施工范围内的安全管理负责。</w:t>
      </w:r>
    </w:p>
    <w:p w14:paraId="5F4BD89B">
      <w:pPr>
        <w:spacing w:line="360" w:lineRule="auto"/>
        <w:ind w:firstLine="420" w:firstLineChars="200"/>
        <w:rPr>
          <w:rFonts w:ascii="宋体" w:hAnsi="宋体"/>
          <w:color w:val="auto"/>
          <w:szCs w:val="21"/>
          <w:highlight w:val="none"/>
        </w:rPr>
      </w:pPr>
      <w:bookmarkStart w:id="1441" w:name="_Toc247418268"/>
      <w:bookmarkStart w:id="1442" w:name="_Toc239510294"/>
      <w:bookmarkStart w:id="1443" w:name="_Toc532375704"/>
      <w:bookmarkStart w:id="1444" w:name="_Toc247431428"/>
      <w:r>
        <w:rPr>
          <w:rFonts w:hint="eastAsia" w:ascii="宋体" w:hAnsi="宋体"/>
          <w:color w:val="auto"/>
          <w:szCs w:val="21"/>
          <w:highlight w:val="none"/>
        </w:rPr>
        <w:t>五、安全资质审查</w:t>
      </w:r>
      <w:bookmarkEnd w:id="1441"/>
      <w:bookmarkEnd w:id="1442"/>
      <w:bookmarkEnd w:id="1443"/>
      <w:bookmarkEnd w:id="1444"/>
    </w:p>
    <w:p w14:paraId="4AB8F0FF">
      <w:pPr>
        <w:spacing w:line="360" w:lineRule="auto"/>
        <w:ind w:firstLine="420" w:firstLineChars="200"/>
        <w:jc w:val="left"/>
        <w:rPr>
          <w:rFonts w:ascii="宋体" w:hAnsi="宋体"/>
          <w:color w:val="auto"/>
          <w:szCs w:val="21"/>
          <w:highlight w:val="none"/>
        </w:rPr>
      </w:pPr>
      <w:r>
        <w:rPr>
          <w:rFonts w:hint="eastAsia" w:ascii="宋体" w:hAnsi="宋体"/>
          <w:color w:val="auto"/>
          <w:szCs w:val="21"/>
          <w:highlight w:val="none"/>
        </w:rPr>
        <w:t>承包人在项目开工前5个工作天内向发包人委托的监理公司提供以下安全资质供审查和存档：</w:t>
      </w:r>
    </w:p>
    <w:p w14:paraId="0F4E6073">
      <w:pPr>
        <w:spacing w:line="360" w:lineRule="auto"/>
        <w:ind w:firstLine="420" w:firstLineChars="200"/>
        <w:jc w:val="left"/>
        <w:rPr>
          <w:rFonts w:ascii="宋体" w:hAnsi="宋体"/>
          <w:color w:val="auto"/>
          <w:szCs w:val="21"/>
          <w:highlight w:val="none"/>
        </w:rPr>
      </w:pPr>
      <w:r>
        <w:rPr>
          <w:rFonts w:hint="eastAsia" w:ascii="宋体" w:hAnsi="宋体"/>
          <w:color w:val="auto"/>
          <w:szCs w:val="21"/>
          <w:highlight w:val="none"/>
        </w:rPr>
        <w:t>1．企业安全生产许可证书复印件。</w:t>
      </w:r>
    </w:p>
    <w:p w14:paraId="793A2961">
      <w:pPr>
        <w:spacing w:line="360" w:lineRule="auto"/>
        <w:ind w:firstLine="420" w:firstLineChars="200"/>
        <w:jc w:val="left"/>
        <w:rPr>
          <w:rFonts w:ascii="宋体" w:hAnsi="宋体"/>
          <w:color w:val="auto"/>
          <w:szCs w:val="21"/>
          <w:highlight w:val="none"/>
        </w:rPr>
      </w:pPr>
      <w:r>
        <w:rPr>
          <w:rFonts w:hint="eastAsia" w:ascii="宋体" w:hAnsi="宋体"/>
          <w:color w:val="auto"/>
          <w:szCs w:val="21"/>
          <w:highlight w:val="none"/>
        </w:rPr>
        <w:t>2．企业近三年的施工简历及安全施工业绩证明文件。</w:t>
      </w:r>
    </w:p>
    <w:p w14:paraId="121AA87D">
      <w:pPr>
        <w:spacing w:line="360" w:lineRule="auto"/>
        <w:ind w:firstLine="420" w:firstLineChars="200"/>
        <w:jc w:val="left"/>
        <w:rPr>
          <w:rFonts w:ascii="宋体" w:hAnsi="宋体"/>
          <w:color w:val="auto"/>
          <w:szCs w:val="21"/>
          <w:highlight w:val="none"/>
        </w:rPr>
      </w:pPr>
      <w:r>
        <w:rPr>
          <w:rFonts w:hint="eastAsia" w:ascii="宋体" w:hAnsi="宋体"/>
          <w:color w:val="auto"/>
          <w:szCs w:val="21"/>
          <w:highlight w:val="none"/>
        </w:rPr>
        <w:t>3．企业主要安全管理人员（包括项目经理、专职安全管理人员）经建设主管部门安全生产知识考核合格证书。</w:t>
      </w:r>
    </w:p>
    <w:p w14:paraId="5018224A">
      <w:pPr>
        <w:spacing w:line="360" w:lineRule="auto"/>
        <w:ind w:firstLine="420" w:firstLineChars="200"/>
        <w:jc w:val="left"/>
        <w:rPr>
          <w:rFonts w:ascii="宋体" w:hAnsi="宋体"/>
          <w:color w:val="auto"/>
          <w:szCs w:val="21"/>
          <w:highlight w:val="none"/>
        </w:rPr>
      </w:pPr>
      <w:r>
        <w:rPr>
          <w:rFonts w:hint="eastAsia" w:ascii="宋体" w:hAnsi="宋体"/>
          <w:color w:val="auto"/>
          <w:szCs w:val="21"/>
          <w:highlight w:val="none"/>
        </w:rPr>
        <w:t>4．特种作业人员资格证书。</w:t>
      </w:r>
    </w:p>
    <w:p w14:paraId="5C14D911">
      <w:pPr>
        <w:spacing w:line="360" w:lineRule="auto"/>
        <w:ind w:firstLine="420" w:firstLineChars="200"/>
        <w:jc w:val="left"/>
        <w:rPr>
          <w:rFonts w:ascii="宋体" w:hAnsi="宋体"/>
          <w:color w:val="auto"/>
          <w:szCs w:val="21"/>
          <w:highlight w:val="none"/>
        </w:rPr>
      </w:pPr>
      <w:r>
        <w:rPr>
          <w:rFonts w:hint="eastAsia" w:ascii="宋体" w:hAnsi="宋体"/>
          <w:color w:val="auto"/>
          <w:szCs w:val="21"/>
          <w:highlight w:val="none"/>
        </w:rPr>
        <w:t>5．项目安全管理机构及其人员配备（承包人必须配有专职的安全员）。</w:t>
      </w:r>
    </w:p>
    <w:p w14:paraId="04ED9FAF">
      <w:pPr>
        <w:spacing w:line="360" w:lineRule="auto"/>
        <w:ind w:firstLine="420" w:firstLineChars="200"/>
        <w:jc w:val="left"/>
        <w:rPr>
          <w:rFonts w:ascii="宋体" w:hAnsi="宋体"/>
          <w:color w:val="auto"/>
          <w:szCs w:val="21"/>
          <w:highlight w:val="none"/>
        </w:rPr>
      </w:pPr>
      <w:r>
        <w:rPr>
          <w:rFonts w:hint="eastAsia" w:ascii="宋体" w:hAnsi="宋体"/>
          <w:color w:val="auto"/>
          <w:szCs w:val="21"/>
          <w:highlight w:val="none"/>
        </w:rPr>
        <w:t>6．适用于项目的安全管理体系及保证体系文件（安全管理大纲及管理程序文件）。</w:t>
      </w:r>
    </w:p>
    <w:p w14:paraId="357CEA9A">
      <w:pPr>
        <w:spacing w:line="360" w:lineRule="auto"/>
        <w:ind w:firstLine="420" w:firstLineChars="200"/>
        <w:rPr>
          <w:rFonts w:ascii="宋体" w:hAnsi="宋体"/>
          <w:color w:val="auto"/>
          <w:szCs w:val="21"/>
          <w:highlight w:val="none"/>
        </w:rPr>
      </w:pPr>
      <w:bookmarkStart w:id="1445" w:name="_Toc532375705"/>
      <w:bookmarkStart w:id="1446" w:name="_Toc239510295"/>
      <w:bookmarkStart w:id="1447" w:name="_Toc247418269"/>
      <w:bookmarkStart w:id="1448" w:name="_Toc247431429"/>
      <w:r>
        <w:rPr>
          <w:rFonts w:hint="eastAsia" w:ascii="宋体" w:hAnsi="宋体"/>
          <w:color w:val="auto"/>
          <w:szCs w:val="21"/>
          <w:highlight w:val="none"/>
        </w:rPr>
        <w:t>六、人员基本素质</w:t>
      </w:r>
      <w:bookmarkEnd w:id="1445"/>
      <w:bookmarkEnd w:id="1446"/>
      <w:bookmarkEnd w:id="1447"/>
      <w:bookmarkEnd w:id="1448"/>
    </w:p>
    <w:p w14:paraId="5893967C">
      <w:pPr>
        <w:spacing w:line="360" w:lineRule="auto"/>
        <w:ind w:firstLine="420" w:firstLineChars="200"/>
        <w:jc w:val="left"/>
        <w:rPr>
          <w:rFonts w:ascii="宋体" w:hAnsi="宋体"/>
          <w:color w:val="auto"/>
          <w:szCs w:val="21"/>
          <w:highlight w:val="none"/>
        </w:rPr>
      </w:pPr>
      <w:r>
        <w:rPr>
          <w:rFonts w:hint="eastAsia" w:ascii="宋体" w:hAnsi="宋体"/>
          <w:color w:val="auto"/>
          <w:szCs w:val="21"/>
          <w:highlight w:val="none"/>
        </w:rPr>
        <w:t>承包人提供的人员必须满足下列要求:</w:t>
      </w:r>
    </w:p>
    <w:p w14:paraId="5808B93C">
      <w:pPr>
        <w:spacing w:line="360" w:lineRule="auto"/>
        <w:ind w:firstLine="420" w:firstLineChars="200"/>
        <w:jc w:val="left"/>
        <w:rPr>
          <w:rFonts w:ascii="宋体" w:hAnsi="宋体"/>
          <w:color w:val="auto"/>
          <w:szCs w:val="21"/>
          <w:highlight w:val="none"/>
        </w:rPr>
      </w:pPr>
      <w:r>
        <w:rPr>
          <w:rFonts w:hint="eastAsia" w:ascii="宋体" w:hAnsi="宋体"/>
          <w:color w:val="auto"/>
          <w:szCs w:val="21"/>
          <w:highlight w:val="none"/>
        </w:rPr>
        <w:t>1．身体健康，无影响工作的精神疾病、无传染病和其他重大疾病；承包人需对其雇用的施工人员签发健康声明并保证其健康。其中体检证明材料（县级以上医院）和健康声明作为人员办理入场证件的必备材料。</w:t>
      </w:r>
    </w:p>
    <w:p w14:paraId="0A90B4FB">
      <w:pPr>
        <w:spacing w:line="360" w:lineRule="auto"/>
        <w:ind w:firstLine="420" w:firstLineChars="200"/>
        <w:jc w:val="left"/>
        <w:rPr>
          <w:rFonts w:ascii="宋体" w:hAnsi="宋体"/>
          <w:color w:val="auto"/>
          <w:szCs w:val="21"/>
          <w:highlight w:val="none"/>
        </w:rPr>
      </w:pPr>
      <w:r>
        <w:rPr>
          <w:rFonts w:hint="eastAsia" w:ascii="宋体" w:hAnsi="宋体"/>
          <w:color w:val="auto"/>
          <w:szCs w:val="21"/>
          <w:highlight w:val="none"/>
        </w:rPr>
        <w:t>2．无刑事案件牵连。</w:t>
      </w:r>
    </w:p>
    <w:p w14:paraId="69267D3F">
      <w:pPr>
        <w:spacing w:line="360" w:lineRule="auto"/>
        <w:ind w:firstLine="420" w:firstLineChars="200"/>
        <w:jc w:val="left"/>
        <w:rPr>
          <w:rFonts w:ascii="宋体" w:hAnsi="宋体"/>
          <w:color w:val="auto"/>
          <w:szCs w:val="21"/>
          <w:highlight w:val="none"/>
        </w:rPr>
      </w:pPr>
      <w:r>
        <w:rPr>
          <w:rFonts w:hint="eastAsia" w:ascii="宋体" w:hAnsi="宋体"/>
          <w:color w:val="auto"/>
          <w:szCs w:val="21"/>
          <w:highlight w:val="none"/>
        </w:rPr>
        <w:t>3．无吸毒、酗酒、赌博、嫖娼等恶习及违法行为。</w:t>
      </w:r>
    </w:p>
    <w:p w14:paraId="78AF2667">
      <w:pPr>
        <w:spacing w:line="360" w:lineRule="auto"/>
        <w:ind w:firstLine="420" w:firstLineChars="200"/>
        <w:rPr>
          <w:rFonts w:ascii="宋体" w:hAnsi="宋体"/>
          <w:color w:val="auto"/>
          <w:szCs w:val="21"/>
          <w:highlight w:val="none"/>
        </w:rPr>
      </w:pPr>
      <w:bookmarkStart w:id="1449" w:name="_Toc239510296"/>
      <w:bookmarkStart w:id="1450" w:name="_Toc247431430"/>
      <w:bookmarkStart w:id="1451" w:name="_Toc247418270"/>
      <w:bookmarkStart w:id="1452" w:name="_Toc532375706"/>
      <w:r>
        <w:rPr>
          <w:rFonts w:hint="eastAsia" w:ascii="宋体" w:hAnsi="宋体"/>
          <w:color w:val="auto"/>
          <w:szCs w:val="21"/>
          <w:highlight w:val="none"/>
        </w:rPr>
        <w:t>七、劳动保护</w:t>
      </w:r>
      <w:bookmarkEnd w:id="1449"/>
      <w:bookmarkEnd w:id="1450"/>
      <w:bookmarkEnd w:id="1451"/>
      <w:bookmarkEnd w:id="1452"/>
    </w:p>
    <w:p w14:paraId="517988AD">
      <w:pPr>
        <w:spacing w:line="360" w:lineRule="auto"/>
        <w:ind w:firstLine="420" w:firstLineChars="200"/>
        <w:jc w:val="left"/>
        <w:rPr>
          <w:rFonts w:ascii="宋体" w:hAnsi="宋体"/>
          <w:color w:val="auto"/>
          <w:szCs w:val="21"/>
          <w:highlight w:val="none"/>
        </w:rPr>
      </w:pPr>
      <w:r>
        <w:rPr>
          <w:rFonts w:hint="eastAsia" w:ascii="宋体" w:hAnsi="宋体"/>
          <w:color w:val="auto"/>
          <w:szCs w:val="21"/>
          <w:highlight w:val="none"/>
        </w:rPr>
        <w:t>1．承包人负责为本单位任何用工形式的员工提供个人劳动保护用品（包括工作服、安全帽、安全鞋等）。</w:t>
      </w:r>
    </w:p>
    <w:p w14:paraId="39AACF38">
      <w:pPr>
        <w:spacing w:line="360" w:lineRule="auto"/>
        <w:ind w:firstLine="420" w:firstLineChars="200"/>
        <w:jc w:val="left"/>
        <w:rPr>
          <w:rFonts w:ascii="宋体" w:hAnsi="宋体"/>
          <w:color w:val="auto"/>
          <w:szCs w:val="21"/>
          <w:highlight w:val="none"/>
        </w:rPr>
      </w:pPr>
      <w:r>
        <w:rPr>
          <w:rFonts w:hint="eastAsia" w:ascii="宋体" w:hAnsi="宋体"/>
          <w:color w:val="auto"/>
          <w:szCs w:val="21"/>
          <w:highlight w:val="none"/>
        </w:rPr>
        <w:t>2．承包人负责向特殊工种的员工提供特殊劳动保护，否则不得从事特殊工种作业。</w:t>
      </w:r>
    </w:p>
    <w:p w14:paraId="3CB8EAB4">
      <w:pPr>
        <w:spacing w:line="360" w:lineRule="auto"/>
        <w:ind w:firstLine="420" w:firstLineChars="200"/>
        <w:jc w:val="left"/>
        <w:rPr>
          <w:rFonts w:ascii="宋体" w:hAnsi="宋体"/>
          <w:color w:val="auto"/>
          <w:szCs w:val="21"/>
          <w:highlight w:val="none"/>
        </w:rPr>
      </w:pPr>
      <w:r>
        <w:rPr>
          <w:rFonts w:hint="eastAsia" w:ascii="宋体" w:hAnsi="宋体"/>
          <w:color w:val="auto"/>
          <w:szCs w:val="21"/>
          <w:highlight w:val="none"/>
        </w:rPr>
        <w:t>3．发包人委托的监理公司有权检查承包人的个人劳动保护用品是否符合国家的相应标准。</w:t>
      </w:r>
    </w:p>
    <w:p w14:paraId="2162BFAD">
      <w:pPr>
        <w:spacing w:line="360" w:lineRule="auto"/>
        <w:ind w:firstLine="420" w:firstLineChars="200"/>
        <w:jc w:val="left"/>
        <w:rPr>
          <w:rFonts w:ascii="宋体" w:hAnsi="宋体"/>
          <w:color w:val="auto"/>
          <w:szCs w:val="21"/>
          <w:highlight w:val="none"/>
        </w:rPr>
      </w:pPr>
      <w:r>
        <w:rPr>
          <w:rFonts w:hint="eastAsia" w:ascii="宋体" w:hAnsi="宋体"/>
          <w:color w:val="auto"/>
          <w:szCs w:val="21"/>
          <w:highlight w:val="none"/>
        </w:rPr>
        <w:t>4． 承包人在特殊风险场所作业而需要特殊防护用品或安全仪表时，必须在上述防护用品全部到位后才能开工。</w:t>
      </w:r>
    </w:p>
    <w:p w14:paraId="7FEAFBE0">
      <w:pPr>
        <w:spacing w:line="360" w:lineRule="auto"/>
        <w:ind w:firstLine="420" w:firstLineChars="200"/>
        <w:jc w:val="left"/>
        <w:rPr>
          <w:rFonts w:ascii="宋体" w:hAnsi="宋体"/>
          <w:color w:val="auto"/>
          <w:szCs w:val="21"/>
          <w:highlight w:val="none"/>
        </w:rPr>
      </w:pPr>
      <w:r>
        <w:rPr>
          <w:rFonts w:hint="eastAsia" w:ascii="宋体" w:hAnsi="宋体"/>
          <w:color w:val="auto"/>
          <w:szCs w:val="21"/>
          <w:highlight w:val="none"/>
        </w:rPr>
        <w:t>5．承包人应配备临时安全围栏、警示带、警告标志、防火布等集体防护用品。</w:t>
      </w:r>
    </w:p>
    <w:p w14:paraId="6003C92F">
      <w:pPr>
        <w:spacing w:line="360" w:lineRule="auto"/>
        <w:ind w:firstLine="420" w:firstLineChars="200"/>
        <w:rPr>
          <w:rFonts w:ascii="宋体" w:hAnsi="宋体"/>
          <w:color w:val="auto"/>
          <w:szCs w:val="21"/>
          <w:highlight w:val="none"/>
        </w:rPr>
      </w:pPr>
      <w:bookmarkStart w:id="1453" w:name="_Toc247431431"/>
      <w:bookmarkStart w:id="1454" w:name="_Toc532375707"/>
      <w:bookmarkStart w:id="1455" w:name="_Toc247418271"/>
      <w:bookmarkStart w:id="1456" w:name="_Toc239510297"/>
      <w:r>
        <w:rPr>
          <w:rFonts w:hint="eastAsia" w:ascii="宋体" w:hAnsi="宋体"/>
          <w:color w:val="auto"/>
          <w:szCs w:val="21"/>
          <w:highlight w:val="none"/>
        </w:rPr>
        <w:t>八、施工机具与材料</w:t>
      </w:r>
      <w:bookmarkEnd w:id="1453"/>
      <w:bookmarkEnd w:id="1454"/>
      <w:bookmarkEnd w:id="1455"/>
      <w:bookmarkEnd w:id="1456"/>
    </w:p>
    <w:p w14:paraId="3E5CB6D9">
      <w:pPr>
        <w:spacing w:line="360" w:lineRule="auto"/>
        <w:ind w:firstLine="420" w:firstLineChars="200"/>
        <w:jc w:val="left"/>
        <w:rPr>
          <w:rFonts w:ascii="宋体" w:hAnsi="宋体"/>
          <w:color w:val="auto"/>
          <w:szCs w:val="21"/>
          <w:highlight w:val="none"/>
        </w:rPr>
      </w:pPr>
      <w:r>
        <w:rPr>
          <w:rFonts w:hint="eastAsia" w:ascii="宋体" w:hAnsi="宋体"/>
          <w:color w:val="auto"/>
          <w:szCs w:val="21"/>
          <w:highlight w:val="none"/>
        </w:rPr>
        <w:t>1．承包人对带入现场的施工机械和工器具的安全负责。</w:t>
      </w:r>
    </w:p>
    <w:p w14:paraId="76C21887">
      <w:pPr>
        <w:spacing w:line="360" w:lineRule="auto"/>
        <w:ind w:firstLine="420" w:firstLineChars="200"/>
        <w:jc w:val="left"/>
        <w:rPr>
          <w:rFonts w:ascii="宋体" w:hAnsi="宋体"/>
          <w:color w:val="auto"/>
          <w:szCs w:val="21"/>
          <w:highlight w:val="none"/>
        </w:rPr>
      </w:pPr>
      <w:r>
        <w:rPr>
          <w:rFonts w:hint="eastAsia" w:ascii="宋体" w:hAnsi="宋体"/>
          <w:color w:val="auto"/>
          <w:szCs w:val="21"/>
          <w:highlight w:val="none"/>
        </w:rPr>
        <w:t>2．对于承包人带入现场的特殊工器具，如起重设备、索具、机动车辆、压缩气瓶等，承包人必须按国家法规和标准进行检测、试验，并持有法定部门出具的检验证书。</w:t>
      </w:r>
    </w:p>
    <w:p w14:paraId="063B6227">
      <w:pPr>
        <w:spacing w:line="360" w:lineRule="auto"/>
        <w:ind w:firstLine="420" w:firstLineChars="200"/>
        <w:jc w:val="left"/>
        <w:rPr>
          <w:rFonts w:ascii="宋体" w:hAnsi="宋体"/>
          <w:color w:val="auto"/>
          <w:szCs w:val="21"/>
          <w:highlight w:val="none"/>
        </w:rPr>
      </w:pPr>
      <w:r>
        <w:rPr>
          <w:rFonts w:hint="eastAsia" w:ascii="宋体" w:hAnsi="宋体"/>
          <w:color w:val="auto"/>
          <w:szCs w:val="21"/>
          <w:highlight w:val="none"/>
        </w:rPr>
        <w:t>3．对于不属于法定检测的工器具，承包人也必须建立相应的管理、检测制度，这些工器具包括登高工具、脚手架材料、电动工具、安全防护设备及用具等。</w:t>
      </w:r>
    </w:p>
    <w:p w14:paraId="6AE9B910">
      <w:pPr>
        <w:spacing w:line="360" w:lineRule="auto"/>
        <w:ind w:firstLine="420" w:firstLineChars="200"/>
        <w:rPr>
          <w:rFonts w:ascii="宋体" w:hAnsi="宋体"/>
          <w:color w:val="auto"/>
          <w:szCs w:val="21"/>
          <w:highlight w:val="none"/>
        </w:rPr>
      </w:pPr>
      <w:bookmarkStart w:id="1457" w:name="_Toc239510298"/>
      <w:bookmarkStart w:id="1458" w:name="_Toc247418272"/>
      <w:bookmarkStart w:id="1459" w:name="_Toc247431432"/>
      <w:bookmarkStart w:id="1460" w:name="_Toc532375708"/>
      <w:r>
        <w:rPr>
          <w:rFonts w:hint="eastAsia" w:ascii="宋体" w:hAnsi="宋体"/>
          <w:color w:val="auto"/>
          <w:szCs w:val="21"/>
          <w:highlight w:val="none"/>
        </w:rPr>
        <w:t>九、开工前安全条件检查</w:t>
      </w:r>
      <w:bookmarkEnd w:id="1457"/>
      <w:bookmarkEnd w:id="1458"/>
      <w:bookmarkEnd w:id="1459"/>
      <w:bookmarkEnd w:id="1460"/>
    </w:p>
    <w:p w14:paraId="7EF2CF23">
      <w:pPr>
        <w:spacing w:line="360" w:lineRule="auto"/>
        <w:ind w:firstLine="420" w:firstLineChars="200"/>
        <w:jc w:val="left"/>
        <w:rPr>
          <w:rFonts w:ascii="宋体" w:hAnsi="宋体"/>
          <w:color w:val="auto"/>
          <w:szCs w:val="21"/>
          <w:highlight w:val="none"/>
        </w:rPr>
      </w:pPr>
      <w:r>
        <w:rPr>
          <w:rFonts w:hint="eastAsia" w:ascii="宋体" w:hAnsi="宋体"/>
          <w:color w:val="auto"/>
          <w:szCs w:val="21"/>
          <w:highlight w:val="none"/>
        </w:rPr>
        <w:t>1．发包人委托的监理公司将在合同生效后，工程项目正式开工5个工作日前，依据合同安全条款的要求逐项对承包人安全准备情况进行检查。不满足开工安全条件时，承包人将不得开工，由此产生的工期和成本的影响，由承包人自行负责。</w:t>
      </w:r>
    </w:p>
    <w:p w14:paraId="6444E45C">
      <w:pPr>
        <w:spacing w:line="360" w:lineRule="auto"/>
        <w:ind w:firstLine="420" w:firstLineChars="200"/>
        <w:jc w:val="left"/>
        <w:rPr>
          <w:rFonts w:ascii="宋体" w:hAnsi="宋体"/>
          <w:color w:val="auto"/>
          <w:szCs w:val="21"/>
          <w:highlight w:val="none"/>
        </w:rPr>
      </w:pPr>
      <w:r>
        <w:rPr>
          <w:rFonts w:hint="eastAsia" w:ascii="宋体" w:hAnsi="宋体"/>
          <w:color w:val="auto"/>
          <w:szCs w:val="21"/>
          <w:highlight w:val="none"/>
        </w:rPr>
        <w:t>2．开工前安全条件检查的基本内容包括：安全管理体系建设、安全资金投入、危险源识别和安全风险分析、施工机械的安全状况、安全工器具和材料、安全培训教材和教员、专职安全人员的到岗情况、培训的有效性、人员控制、个人劳动保护用品配备等内容。</w:t>
      </w:r>
    </w:p>
    <w:p w14:paraId="33151B01">
      <w:pPr>
        <w:spacing w:line="360" w:lineRule="auto"/>
        <w:ind w:firstLine="420" w:firstLineChars="200"/>
        <w:jc w:val="left"/>
        <w:rPr>
          <w:rFonts w:ascii="宋体" w:hAnsi="宋体"/>
          <w:color w:val="auto"/>
          <w:szCs w:val="21"/>
          <w:highlight w:val="none"/>
        </w:rPr>
      </w:pPr>
      <w:r>
        <w:rPr>
          <w:rFonts w:hint="eastAsia" w:ascii="宋体" w:hAnsi="宋体"/>
          <w:color w:val="auto"/>
          <w:szCs w:val="21"/>
          <w:highlight w:val="none"/>
        </w:rPr>
        <w:t>3．发包人委托的监理公司检查发现的缺陷，承包人应在规定期限内完成整改。对于重大缺陷，发包人委托的监理公司有权要求承包人推迟开工，由此对工期产生的影响或经济损失，由承包人承担。</w:t>
      </w:r>
    </w:p>
    <w:p w14:paraId="4AFB2F35">
      <w:pPr>
        <w:spacing w:line="360" w:lineRule="auto"/>
        <w:ind w:firstLine="420" w:firstLineChars="200"/>
        <w:rPr>
          <w:rFonts w:ascii="宋体" w:hAnsi="宋体"/>
          <w:color w:val="auto"/>
          <w:szCs w:val="21"/>
          <w:highlight w:val="none"/>
        </w:rPr>
      </w:pPr>
      <w:bookmarkStart w:id="1461" w:name="_Toc239510299"/>
      <w:bookmarkStart w:id="1462" w:name="_Toc247431433"/>
      <w:bookmarkStart w:id="1463" w:name="_Toc532375709"/>
      <w:bookmarkStart w:id="1464" w:name="_Toc247418273"/>
      <w:r>
        <w:rPr>
          <w:rFonts w:hint="eastAsia" w:ascii="宋体" w:hAnsi="宋体"/>
          <w:color w:val="auto"/>
          <w:szCs w:val="21"/>
          <w:highlight w:val="none"/>
        </w:rPr>
        <w:t>十、安全监督</w:t>
      </w:r>
      <w:bookmarkEnd w:id="1461"/>
      <w:bookmarkEnd w:id="1462"/>
      <w:bookmarkEnd w:id="1463"/>
      <w:bookmarkEnd w:id="1464"/>
    </w:p>
    <w:p w14:paraId="70FF4906">
      <w:pPr>
        <w:spacing w:line="360" w:lineRule="auto"/>
        <w:ind w:firstLine="420" w:firstLineChars="200"/>
        <w:jc w:val="left"/>
        <w:rPr>
          <w:rFonts w:ascii="宋体" w:hAnsi="宋体"/>
          <w:color w:val="auto"/>
          <w:szCs w:val="21"/>
          <w:highlight w:val="none"/>
        </w:rPr>
      </w:pPr>
      <w:r>
        <w:rPr>
          <w:rFonts w:hint="eastAsia" w:ascii="宋体" w:hAnsi="宋体"/>
          <w:color w:val="auto"/>
          <w:szCs w:val="21"/>
          <w:highlight w:val="none"/>
        </w:rPr>
        <w:t>1．承包人应配备有满足项目安全管理需要的专职安全管理人员。</w:t>
      </w:r>
    </w:p>
    <w:p w14:paraId="286A67EB">
      <w:pPr>
        <w:spacing w:line="360" w:lineRule="auto"/>
        <w:ind w:firstLine="420" w:firstLineChars="200"/>
        <w:jc w:val="left"/>
        <w:rPr>
          <w:rFonts w:ascii="宋体" w:hAnsi="宋体"/>
          <w:color w:val="auto"/>
          <w:szCs w:val="21"/>
          <w:highlight w:val="none"/>
        </w:rPr>
      </w:pPr>
      <w:r>
        <w:rPr>
          <w:rFonts w:hint="eastAsia" w:ascii="宋体" w:hAnsi="宋体"/>
          <w:color w:val="auto"/>
          <w:szCs w:val="21"/>
          <w:highlight w:val="none"/>
        </w:rPr>
        <w:t>2．承包人的专职安全管理人员必须持建设主管部门颁发的安全生产知识考核合格证书。</w:t>
      </w:r>
    </w:p>
    <w:p w14:paraId="20BBFB9F">
      <w:pPr>
        <w:spacing w:line="360" w:lineRule="auto"/>
        <w:ind w:firstLine="420" w:firstLineChars="200"/>
        <w:jc w:val="left"/>
        <w:rPr>
          <w:rFonts w:ascii="宋体" w:hAnsi="宋体"/>
          <w:color w:val="auto"/>
          <w:szCs w:val="21"/>
          <w:highlight w:val="none"/>
        </w:rPr>
      </w:pPr>
      <w:r>
        <w:rPr>
          <w:rFonts w:hint="eastAsia" w:ascii="宋体" w:hAnsi="宋体"/>
          <w:color w:val="auto"/>
          <w:szCs w:val="21"/>
          <w:highlight w:val="none"/>
        </w:rPr>
        <w:t>3．承包人的专职安全管理人员在业务上接受发包人委托的监理公司和发包人安全管理部门的协调和指导。</w:t>
      </w:r>
    </w:p>
    <w:p w14:paraId="5151DE84">
      <w:pPr>
        <w:spacing w:line="360" w:lineRule="auto"/>
        <w:ind w:firstLine="420" w:firstLineChars="200"/>
        <w:jc w:val="left"/>
        <w:rPr>
          <w:rFonts w:ascii="宋体" w:hAnsi="宋体"/>
          <w:color w:val="auto"/>
          <w:szCs w:val="21"/>
          <w:highlight w:val="none"/>
        </w:rPr>
      </w:pPr>
      <w:r>
        <w:rPr>
          <w:rFonts w:hint="eastAsia" w:ascii="宋体" w:hAnsi="宋体"/>
          <w:color w:val="auto"/>
          <w:szCs w:val="21"/>
          <w:highlight w:val="none"/>
        </w:rPr>
        <w:t>4．承包人应建立班前安全交底制度；施工期间坚持开展安全检查和日常安全监督并形成相应的记录。</w:t>
      </w:r>
    </w:p>
    <w:p w14:paraId="70D7FF50">
      <w:pPr>
        <w:spacing w:line="360" w:lineRule="auto"/>
        <w:ind w:firstLine="420" w:firstLineChars="200"/>
        <w:jc w:val="left"/>
        <w:rPr>
          <w:rFonts w:ascii="宋体" w:hAnsi="宋体"/>
          <w:color w:val="auto"/>
          <w:szCs w:val="21"/>
          <w:highlight w:val="none"/>
        </w:rPr>
      </w:pPr>
      <w:r>
        <w:rPr>
          <w:rFonts w:hint="eastAsia" w:ascii="宋体" w:hAnsi="宋体"/>
          <w:color w:val="auto"/>
          <w:szCs w:val="21"/>
          <w:highlight w:val="none"/>
        </w:rPr>
        <w:t>5．承包人应在每个作业区任命兼职安全员，赋予兼职安全员相应的授权和义务，并对兼职安全员进行定期考核。</w:t>
      </w:r>
    </w:p>
    <w:p w14:paraId="6C1F29EF">
      <w:pPr>
        <w:spacing w:line="360" w:lineRule="auto"/>
        <w:ind w:firstLine="420" w:firstLineChars="200"/>
        <w:jc w:val="left"/>
        <w:rPr>
          <w:rFonts w:ascii="宋体" w:hAnsi="宋体"/>
          <w:color w:val="auto"/>
          <w:szCs w:val="21"/>
          <w:highlight w:val="none"/>
        </w:rPr>
      </w:pPr>
      <w:r>
        <w:rPr>
          <w:rFonts w:hint="eastAsia" w:ascii="宋体" w:hAnsi="宋体"/>
          <w:color w:val="auto"/>
          <w:szCs w:val="21"/>
          <w:highlight w:val="none"/>
        </w:rPr>
        <w:t>6．承包人应接受和配合发包人专业部门及委托的监理公司的监督与安全评价。</w:t>
      </w:r>
    </w:p>
    <w:p w14:paraId="19C3FAB3">
      <w:pPr>
        <w:spacing w:line="360" w:lineRule="auto"/>
        <w:ind w:firstLine="420" w:firstLineChars="200"/>
        <w:jc w:val="left"/>
        <w:rPr>
          <w:rFonts w:ascii="宋体" w:hAnsi="宋体"/>
          <w:color w:val="auto"/>
          <w:szCs w:val="21"/>
          <w:highlight w:val="none"/>
        </w:rPr>
      </w:pPr>
      <w:r>
        <w:rPr>
          <w:rFonts w:hint="eastAsia" w:ascii="宋体" w:hAnsi="宋体"/>
          <w:color w:val="auto"/>
          <w:szCs w:val="21"/>
          <w:highlight w:val="none"/>
        </w:rPr>
        <w:t>7．发包人和委托的监理公司有权对承包人履行安全管理协议的情况进行监督，并有权对违章行为实行停工和处罚，处罚情况将通知承包人。涉及经济处罚时将直接通知合同管理部门从合同结算中扣除。</w:t>
      </w:r>
    </w:p>
    <w:p w14:paraId="730B25BA">
      <w:pPr>
        <w:spacing w:line="360" w:lineRule="auto"/>
        <w:ind w:firstLine="420" w:firstLineChars="200"/>
        <w:rPr>
          <w:rFonts w:ascii="宋体" w:hAnsi="宋体"/>
          <w:color w:val="auto"/>
          <w:szCs w:val="21"/>
          <w:highlight w:val="none"/>
        </w:rPr>
      </w:pPr>
      <w:bookmarkStart w:id="1465" w:name="_Toc247418274"/>
      <w:bookmarkStart w:id="1466" w:name="_Toc239510300"/>
      <w:bookmarkStart w:id="1467" w:name="_Toc247431434"/>
      <w:bookmarkStart w:id="1468" w:name="_Toc532375710"/>
      <w:r>
        <w:rPr>
          <w:rFonts w:hint="eastAsia" w:ascii="宋体" w:hAnsi="宋体"/>
          <w:color w:val="auto"/>
          <w:szCs w:val="21"/>
          <w:highlight w:val="none"/>
        </w:rPr>
        <w:t>十一、安全培训与授权</w:t>
      </w:r>
      <w:bookmarkEnd w:id="1465"/>
      <w:bookmarkEnd w:id="1466"/>
      <w:bookmarkEnd w:id="1467"/>
      <w:bookmarkEnd w:id="1468"/>
    </w:p>
    <w:p w14:paraId="6CEF26A0">
      <w:pPr>
        <w:spacing w:line="360" w:lineRule="auto"/>
        <w:ind w:firstLine="420" w:firstLineChars="200"/>
        <w:jc w:val="left"/>
        <w:rPr>
          <w:rFonts w:ascii="宋体" w:hAnsi="宋体"/>
          <w:color w:val="auto"/>
          <w:szCs w:val="21"/>
          <w:highlight w:val="none"/>
        </w:rPr>
      </w:pPr>
      <w:r>
        <w:rPr>
          <w:rFonts w:hint="eastAsia" w:ascii="宋体" w:hAnsi="宋体"/>
          <w:color w:val="auto"/>
          <w:szCs w:val="21"/>
          <w:highlight w:val="none"/>
        </w:rPr>
        <w:t>1．承包人所有特殊工种人员必须持证上岗，发包人和发包人委托的监理公司有权对其进行抽查。承包人要建立特殊工种定期培训和检查计划，这些工种包括但不限于：机动车驾驶员、焊工、起重工、电工等。</w:t>
      </w:r>
    </w:p>
    <w:p w14:paraId="41DCC75D">
      <w:pPr>
        <w:spacing w:line="360" w:lineRule="auto"/>
        <w:ind w:firstLine="420" w:firstLineChars="200"/>
        <w:jc w:val="left"/>
        <w:rPr>
          <w:rFonts w:ascii="宋体" w:hAnsi="宋体"/>
          <w:color w:val="auto"/>
          <w:szCs w:val="21"/>
          <w:highlight w:val="none"/>
        </w:rPr>
      </w:pPr>
      <w:r>
        <w:rPr>
          <w:rFonts w:hint="eastAsia" w:ascii="宋体" w:hAnsi="宋体"/>
          <w:color w:val="auto"/>
          <w:szCs w:val="21"/>
          <w:highlight w:val="none"/>
        </w:rPr>
        <w:t>2．承包人应在特殊工种之外的其他工种中，筛选出高风险工种，并对其开展针对性的专题安全培训。</w:t>
      </w:r>
    </w:p>
    <w:p w14:paraId="76A1CF5F">
      <w:pPr>
        <w:spacing w:line="360" w:lineRule="auto"/>
        <w:ind w:firstLine="420" w:firstLineChars="200"/>
        <w:jc w:val="left"/>
        <w:rPr>
          <w:rFonts w:ascii="宋体" w:hAnsi="宋体"/>
          <w:color w:val="auto"/>
          <w:szCs w:val="21"/>
          <w:highlight w:val="none"/>
        </w:rPr>
      </w:pPr>
      <w:r>
        <w:rPr>
          <w:rFonts w:hint="eastAsia" w:ascii="宋体" w:hAnsi="宋体"/>
          <w:color w:val="auto"/>
          <w:szCs w:val="21"/>
          <w:highlight w:val="none"/>
        </w:rPr>
        <w:t>3．承包人应组织 “入场培训”和考核。发包人委托的监理公司有权监督培训、考核情况或组织抽查考核。</w:t>
      </w:r>
    </w:p>
    <w:p w14:paraId="780D5178">
      <w:pPr>
        <w:spacing w:line="360" w:lineRule="auto"/>
        <w:ind w:firstLine="420" w:firstLineChars="200"/>
        <w:jc w:val="left"/>
        <w:rPr>
          <w:rFonts w:ascii="宋体" w:hAnsi="宋体"/>
          <w:color w:val="auto"/>
          <w:szCs w:val="21"/>
          <w:highlight w:val="none"/>
        </w:rPr>
      </w:pPr>
      <w:r>
        <w:rPr>
          <w:rFonts w:hint="eastAsia" w:ascii="宋体" w:hAnsi="宋体"/>
          <w:color w:val="auto"/>
          <w:szCs w:val="21"/>
          <w:highlight w:val="none"/>
        </w:rPr>
        <w:t>4．承包人应建立安全培训和考核机制，编制培训教材和培训滚动计划。承包人应组织安全考试/考核，建立培训考核记录，发包人委托的监理公司有权查看这些记录。</w:t>
      </w:r>
    </w:p>
    <w:p w14:paraId="3148F8DE">
      <w:pPr>
        <w:spacing w:line="360" w:lineRule="auto"/>
        <w:ind w:firstLine="420" w:firstLineChars="200"/>
        <w:rPr>
          <w:rFonts w:ascii="宋体" w:hAnsi="宋体"/>
          <w:color w:val="auto"/>
          <w:szCs w:val="21"/>
          <w:highlight w:val="none"/>
        </w:rPr>
      </w:pPr>
      <w:bookmarkStart w:id="1469" w:name="_Toc247431435"/>
      <w:bookmarkStart w:id="1470" w:name="_Toc239510301"/>
      <w:bookmarkStart w:id="1471" w:name="_Toc532375711"/>
      <w:bookmarkStart w:id="1472" w:name="_Toc247418275"/>
      <w:r>
        <w:rPr>
          <w:rFonts w:hint="eastAsia" w:ascii="宋体" w:hAnsi="宋体"/>
          <w:color w:val="auto"/>
          <w:szCs w:val="21"/>
          <w:highlight w:val="none"/>
        </w:rPr>
        <w:t>十二、职业健康与卫生防疫</w:t>
      </w:r>
      <w:bookmarkEnd w:id="1469"/>
      <w:bookmarkEnd w:id="1470"/>
      <w:bookmarkEnd w:id="1471"/>
      <w:bookmarkEnd w:id="1472"/>
    </w:p>
    <w:p w14:paraId="1F84B3DC">
      <w:pPr>
        <w:spacing w:line="360" w:lineRule="auto"/>
        <w:ind w:firstLine="420" w:firstLineChars="200"/>
        <w:jc w:val="left"/>
        <w:rPr>
          <w:rFonts w:ascii="宋体" w:hAnsi="宋体"/>
          <w:color w:val="auto"/>
          <w:szCs w:val="21"/>
          <w:highlight w:val="none"/>
        </w:rPr>
      </w:pPr>
      <w:r>
        <w:rPr>
          <w:rFonts w:hint="eastAsia" w:ascii="宋体" w:hAnsi="宋体"/>
          <w:color w:val="auto"/>
          <w:szCs w:val="21"/>
          <w:highlight w:val="none"/>
        </w:rPr>
        <w:t>1．承包人应有特殊健康检查制度，预防有禁忌症患者从事有关职业，如恐高症患者不得从事高空作业，患有心血管疾病的人员不得从事繁重的体力劳动，特殊工种人员的体检应符合国家的规定。</w:t>
      </w:r>
    </w:p>
    <w:p w14:paraId="685EC799">
      <w:pPr>
        <w:spacing w:line="360" w:lineRule="auto"/>
        <w:ind w:firstLine="420" w:firstLineChars="200"/>
        <w:jc w:val="left"/>
        <w:rPr>
          <w:rFonts w:ascii="宋体" w:hAnsi="宋体"/>
          <w:color w:val="auto"/>
          <w:szCs w:val="21"/>
          <w:highlight w:val="none"/>
        </w:rPr>
      </w:pPr>
      <w:r>
        <w:rPr>
          <w:rFonts w:hint="eastAsia" w:ascii="宋体" w:hAnsi="宋体"/>
          <w:color w:val="auto"/>
          <w:szCs w:val="21"/>
          <w:highlight w:val="none"/>
        </w:rPr>
        <w:t>2．承包人应保证卫生防疫基本设施的投入，以满足医疗、急救的要求，建立外部医疗支持渠道。</w:t>
      </w:r>
    </w:p>
    <w:p w14:paraId="4886BAEB">
      <w:pPr>
        <w:spacing w:line="360" w:lineRule="auto"/>
        <w:ind w:firstLine="420" w:firstLineChars="200"/>
        <w:jc w:val="left"/>
        <w:rPr>
          <w:rFonts w:ascii="宋体" w:hAnsi="宋体"/>
          <w:color w:val="auto"/>
          <w:szCs w:val="21"/>
          <w:highlight w:val="none"/>
        </w:rPr>
      </w:pPr>
      <w:r>
        <w:rPr>
          <w:rFonts w:hint="eastAsia" w:ascii="宋体" w:hAnsi="宋体"/>
          <w:color w:val="auto"/>
          <w:szCs w:val="21"/>
          <w:highlight w:val="none"/>
        </w:rPr>
        <w:t>3．应建立卫生防疫措施计划，做好生活区和施工区的卫生防疫工作；制定和执行保证饮水卫生、饮食卫生、环境卫生和预防集体食物中毒的措施；有灭蚊、灭鼠和消毒的专项工作计划；有针对性地制订预防SARS、禽流感、疟疾、霍乱、肠道传染病、肝炎、H1N1流感等疾病的措施。</w:t>
      </w:r>
    </w:p>
    <w:p w14:paraId="71616878">
      <w:pPr>
        <w:spacing w:line="360" w:lineRule="auto"/>
        <w:ind w:firstLine="420" w:firstLineChars="200"/>
        <w:rPr>
          <w:rFonts w:ascii="宋体" w:hAnsi="宋体"/>
          <w:color w:val="auto"/>
          <w:szCs w:val="21"/>
          <w:highlight w:val="none"/>
        </w:rPr>
      </w:pPr>
      <w:bookmarkStart w:id="1473" w:name="_Toc532375712"/>
      <w:bookmarkStart w:id="1474" w:name="_Toc247431436"/>
      <w:bookmarkStart w:id="1475" w:name="_Toc239510302"/>
      <w:bookmarkStart w:id="1476" w:name="_Toc247418276"/>
      <w:r>
        <w:rPr>
          <w:rFonts w:hint="eastAsia" w:ascii="宋体" w:hAnsi="宋体"/>
          <w:color w:val="auto"/>
          <w:szCs w:val="21"/>
          <w:highlight w:val="none"/>
        </w:rPr>
        <w:t>十三、文明施工与环保要求</w:t>
      </w:r>
      <w:bookmarkEnd w:id="1473"/>
      <w:bookmarkEnd w:id="1474"/>
      <w:bookmarkEnd w:id="1475"/>
      <w:bookmarkEnd w:id="1476"/>
    </w:p>
    <w:p w14:paraId="19A5336D">
      <w:pPr>
        <w:spacing w:line="360" w:lineRule="auto"/>
        <w:ind w:firstLine="420" w:firstLineChars="200"/>
        <w:jc w:val="left"/>
        <w:rPr>
          <w:rFonts w:ascii="宋体" w:hAnsi="宋体"/>
          <w:color w:val="auto"/>
          <w:szCs w:val="21"/>
          <w:highlight w:val="none"/>
        </w:rPr>
      </w:pPr>
      <w:r>
        <w:rPr>
          <w:rFonts w:hint="eastAsia" w:ascii="宋体" w:hAnsi="宋体"/>
          <w:color w:val="auto"/>
          <w:szCs w:val="21"/>
          <w:highlight w:val="none"/>
        </w:rPr>
        <w:t>1．承包人需制订施工现场的文明施工措施，保持良好的施工现场秩序。施工现场的物料堆放要摆放整齐，安全标志和宣传标志要清楚醒目，废料、废物要分类收集，安全通道要畅通。</w:t>
      </w:r>
    </w:p>
    <w:p w14:paraId="4877122F">
      <w:pPr>
        <w:spacing w:line="360" w:lineRule="auto"/>
        <w:ind w:firstLine="420" w:firstLineChars="200"/>
        <w:jc w:val="left"/>
        <w:rPr>
          <w:rFonts w:ascii="宋体" w:hAnsi="宋体"/>
          <w:color w:val="auto"/>
          <w:szCs w:val="21"/>
          <w:highlight w:val="none"/>
        </w:rPr>
      </w:pPr>
      <w:r>
        <w:rPr>
          <w:rFonts w:hint="eastAsia" w:ascii="宋体" w:hAnsi="宋体"/>
          <w:color w:val="auto"/>
          <w:szCs w:val="21"/>
          <w:highlight w:val="none"/>
        </w:rPr>
        <w:t>2．承包人作业时应避免建筑材料抛洒、飞扬、流淌；应尽可能降低噪音、震动。</w:t>
      </w:r>
    </w:p>
    <w:p w14:paraId="370C4E44">
      <w:pPr>
        <w:spacing w:line="360" w:lineRule="auto"/>
        <w:ind w:firstLine="420" w:firstLineChars="200"/>
        <w:jc w:val="left"/>
        <w:rPr>
          <w:rFonts w:ascii="宋体" w:hAnsi="宋体"/>
          <w:color w:val="auto"/>
          <w:szCs w:val="21"/>
          <w:highlight w:val="none"/>
        </w:rPr>
      </w:pPr>
      <w:r>
        <w:rPr>
          <w:rFonts w:hint="eastAsia" w:ascii="宋体" w:hAnsi="宋体"/>
          <w:color w:val="auto"/>
          <w:szCs w:val="21"/>
          <w:highlight w:val="none"/>
        </w:rPr>
        <w:t>3．承包人应根据实际需要，在施工现场布置临时卫生设施（洗手间、卫生间等），施工作业不破坏环境卫生，不污染现场环境。</w:t>
      </w:r>
    </w:p>
    <w:p w14:paraId="669E4F5B">
      <w:pPr>
        <w:spacing w:line="360" w:lineRule="auto"/>
        <w:ind w:firstLine="420" w:firstLineChars="200"/>
        <w:jc w:val="left"/>
        <w:rPr>
          <w:rFonts w:ascii="宋体" w:hAnsi="宋体"/>
          <w:color w:val="auto"/>
          <w:szCs w:val="21"/>
          <w:highlight w:val="none"/>
        </w:rPr>
      </w:pPr>
      <w:r>
        <w:rPr>
          <w:rFonts w:hint="eastAsia" w:ascii="宋体" w:hAnsi="宋体"/>
          <w:color w:val="auto"/>
          <w:szCs w:val="21"/>
          <w:highlight w:val="none"/>
        </w:rPr>
        <w:t>4．承包人在施工中应充分重视对环境的保护，保护绿色植被，保护古树。施工如需伤害古树，必须报告发包人委托的监理公司，在未得到指令前，禁止擅自伤害古树。</w:t>
      </w:r>
    </w:p>
    <w:p w14:paraId="52B15F42">
      <w:pPr>
        <w:spacing w:line="360" w:lineRule="auto"/>
        <w:ind w:firstLine="420" w:firstLineChars="200"/>
        <w:jc w:val="left"/>
        <w:rPr>
          <w:rFonts w:ascii="宋体" w:hAnsi="宋体"/>
          <w:color w:val="auto"/>
          <w:szCs w:val="21"/>
          <w:highlight w:val="none"/>
        </w:rPr>
      </w:pPr>
      <w:r>
        <w:rPr>
          <w:rFonts w:hint="eastAsia" w:ascii="宋体" w:hAnsi="宋体"/>
          <w:color w:val="auto"/>
          <w:szCs w:val="21"/>
          <w:highlight w:val="none"/>
        </w:rPr>
        <w:t>5．承包人应及时清理现场废物和垃圾。工业废料与生活垃圾必须分开，有害废物与普通废物必须分开（如油品废物、电池灯管等，必须单独收集、存放）；禁止在非指定场所乱倒、乱堆垃圾。禁止违章处理危险化学品和工业垃圾。</w:t>
      </w:r>
    </w:p>
    <w:p w14:paraId="27FF64FD">
      <w:pPr>
        <w:spacing w:line="360" w:lineRule="auto"/>
        <w:ind w:firstLine="420" w:firstLineChars="200"/>
        <w:jc w:val="left"/>
        <w:rPr>
          <w:rFonts w:ascii="宋体" w:hAnsi="宋体"/>
          <w:color w:val="auto"/>
          <w:szCs w:val="21"/>
          <w:highlight w:val="none"/>
        </w:rPr>
      </w:pPr>
      <w:r>
        <w:rPr>
          <w:rFonts w:hint="eastAsia" w:ascii="宋体" w:hAnsi="宋体"/>
          <w:color w:val="auto"/>
          <w:szCs w:val="21"/>
          <w:highlight w:val="none"/>
        </w:rPr>
        <w:t>6．承包人在施工中应禁止向环境，排放工业污水、生活污水、废油或其他有害物质。</w:t>
      </w:r>
    </w:p>
    <w:p w14:paraId="0EBFF98B">
      <w:pPr>
        <w:spacing w:line="360" w:lineRule="auto"/>
        <w:ind w:firstLine="420" w:firstLineChars="200"/>
        <w:jc w:val="left"/>
        <w:rPr>
          <w:rFonts w:ascii="宋体" w:hAnsi="宋体"/>
          <w:color w:val="auto"/>
          <w:szCs w:val="21"/>
          <w:highlight w:val="none"/>
        </w:rPr>
      </w:pPr>
      <w:r>
        <w:rPr>
          <w:rFonts w:hint="eastAsia" w:ascii="宋体" w:hAnsi="宋体"/>
          <w:color w:val="auto"/>
          <w:szCs w:val="21"/>
          <w:highlight w:val="none"/>
        </w:rPr>
        <w:t>7．承包人在施工中应防止水土流失，应及时对裸露的地基、边坡、开挖出来的沙/土以及砂、石、水泥等建筑材料予以保护，防止风刮扬尘，雨水冲刷，流入下水道、排洪沟。如因防护不及时而造成大量水土流失、淤塞道路、沟道或污染环境的，承包人应承担清淤、清扫以及相应的赔偿责任。</w:t>
      </w:r>
    </w:p>
    <w:p w14:paraId="3C3E4580">
      <w:pPr>
        <w:spacing w:line="360" w:lineRule="auto"/>
        <w:ind w:firstLine="420" w:firstLineChars="200"/>
        <w:rPr>
          <w:rFonts w:ascii="宋体" w:hAnsi="宋体"/>
          <w:color w:val="auto"/>
          <w:szCs w:val="21"/>
          <w:highlight w:val="none"/>
        </w:rPr>
      </w:pPr>
      <w:bookmarkStart w:id="1477" w:name="_Toc247418277"/>
      <w:bookmarkStart w:id="1478" w:name="_Toc247431437"/>
      <w:bookmarkStart w:id="1479" w:name="_Toc532375713"/>
      <w:bookmarkStart w:id="1480" w:name="_Toc239510303"/>
      <w:r>
        <w:rPr>
          <w:rFonts w:hint="eastAsia" w:ascii="宋体" w:hAnsi="宋体"/>
          <w:color w:val="auto"/>
          <w:szCs w:val="21"/>
          <w:highlight w:val="none"/>
        </w:rPr>
        <w:t>十四、工程风险管理与事故预防</w:t>
      </w:r>
      <w:bookmarkEnd w:id="1477"/>
      <w:bookmarkEnd w:id="1478"/>
      <w:bookmarkEnd w:id="1479"/>
      <w:bookmarkEnd w:id="1480"/>
    </w:p>
    <w:p w14:paraId="04F62120">
      <w:pPr>
        <w:spacing w:line="360" w:lineRule="auto"/>
        <w:ind w:firstLine="420" w:firstLineChars="200"/>
        <w:jc w:val="left"/>
        <w:rPr>
          <w:rFonts w:ascii="宋体" w:hAnsi="宋体"/>
          <w:color w:val="auto"/>
          <w:szCs w:val="21"/>
          <w:highlight w:val="none"/>
        </w:rPr>
      </w:pPr>
      <w:bookmarkStart w:id="1481" w:name="_Toc247418278"/>
      <w:bookmarkStart w:id="1482" w:name="_Toc239510304"/>
      <w:bookmarkStart w:id="1483" w:name="_Toc247431438"/>
      <w:r>
        <w:rPr>
          <w:rFonts w:hint="eastAsia" w:ascii="宋体" w:hAnsi="宋体"/>
          <w:color w:val="auto"/>
          <w:szCs w:val="21"/>
          <w:highlight w:val="none"/>
        </w:rPr>
        <w:t>（一）基本要求</w:t>
      </w:r>
      <w:bookmarkEnd w:id="1481"/>
      <w:bookmarkEnd w:id="1482"/>
      <w:bookmarkEnd w:id="1483"/>
    </w:p>
    <w:p w14:paraId="22399CF2">
      <w:pPr>
        <w:spacing w:line="360" w:lineRule="auto"/>
        <w:ind w:firstLine="420" w:firstLineChars="200"/>
        <w:jc w:val="left"/>
        <w:rPr>
          <w:rFonts w:ascii="宋体" w:hAnsi="宋体"/>
          <w:color w:val="auto"/>
          <w:szCs w:val="21"/>
          <w:highlight w:val="none"/>
        </w:rPr>
      </w:pPr>
      <w:bookmarkStart w:id="1484" w:name="_Toc532375714"/>
      <w:r>
        <w:rPr>
          <w:rFonts w:hint="eastAsia" w:ascii="宋体" w:hAnsi="宋体"/>
          <w:color w:val="auto"/>
          <w:szCs w:val="21"/>
          <w:highlight w:val="none"/>
        </w:rPr>
        <w:t>1．承包人应对施工过程进行全面、深入的危险源识别和风险分析。在施工安全组织设计中提供危险源及重要危险源清单、作业风险分析报告，该报告应包括（但不限于）如下信息：</w:t>
      </w:r>
      <w:bookmarkEnd w:id="1484"/>
    </w:p>
    <w:p w14:paraId="05EF50E3">
      <w:pPr>
        <w:spacing w:line="360" w:lineRule="auto"/>
        <w:ind w:firstLine="420" w:firstLineChars="200"/>
        <w:jc w:val="left"/>
        <w:rPr>
          <w:rFonts w:ascii="宋体" w:hAnsi="宋体"/>
          <w:color w:val="auto"/>
          <w:szCs w:val="21"/>
          <w:highlight w:val="none"/>
        </w:rPr>
      </w:pPr>
      <w:r>
        <w:rPr>
          <w:rFonts w:hint="eastAsia" w:ascii="宋体" w:hAnsi="宋体"/>
          <w:color w:val="auto"/>
          <w:szCs w:val="21"/>
          <w:highlight w:val="none"/>
        </w:rPr>
        <w:t>（1）高风险作业和工种清单：作业名称、类别和数量、主要事故风险。</w:t>
      </w:r>
    </w:p>
    <w:p w14:paraId="0196557B">
      <w:pPr>
        <w:spacing w:line="360" w:lineRule="auto"/>
        <w:ind w:firstLine="420" w:firstLineChars="200"/>
        <w:jc w:val="left"/>
        <w:rPr>
          <w:rFonts w:ascii="宋体" w:hAnsi="宋体"/>
          <w:color w:val="auto"/>
          <w:szCs w:val="21"/>
          <w:highlight w:val="none"/>
        </w:rPr>
      </w:pPr>
      <w:r>
        <w:rPr>
          <w:rFonts w:hint="eastAsia" w:ascii="宋体" w:hAnsi="宋体"/>
          <w:color w:val="auto"/>
          <w:szCs w:val="21"/>
          <w:highlight w:val="none"/>
        </w:rPr>
        <w:t>（2）施工能源和机械的种类、数量和主要事故风险。</w:t>
      </w:r>
    </w:p>
    <w:p w14:paraId="4AD0734A">
      <w:pPr>
        <w:spacing w:line="360" w:lineRule="auto"/>
        <w:ind w:firstLine="420" w:firstLineChars="200"/>
        <w:jc w:val="left"/>
        <w:rPr>
          <w:rFonts w:ascii="宋体" w:hAnsi="宋体"/>
          <w:color w:val="auto"/>
          <w:szCs w:val="21"/>
          <w:highlight w:val="none"/>
        </w:rPr>
      </w:pPr>
      <w:r>
        <w:rPr>
          <w:rFonts w:hint="eastAsia" w:ascii="宋体" w:hAnsi="宋体"/>
          <w:color w:val="auto"/>
          <w:szCs w:val="21"/>
          <w:highlight w:val="none"/>
        </w:rPr>
        <w:t>（3）施工作业条件的类型和主要事故风险。</w:t>
      </w:r>
    </w:p>
    <w:p w14:paraId="7106C551">
      <w:pPr>
        <w:spacing w:line="360" w:lineRule="auto"/>
        <w:ind w:firstLine="420" w:firstLineChars="200"/>
        <w:jc w:val="left"/>
        <w:rPr>
          <w:rFonts w:ascii="宋体" w:hAnsi="宋体"/>
          <w:color w:val="auto"/>
          <w:szCs w:val="21"/>
          <w:highlight w:val="none"/>
        </w:rPr>
      </w:pPr>
      <w:r>
        <w:rPr>
          <w:rFonts w:hint="eastAsia" w:ascii="宋体" w:hAnsi="宋体"/>
          <w:color w:val="auto"/>
          <w:szCs w:val="21"/>
          <w:highlight w:val="none"/>
        </w:rPr>
        <w:t>（4）主要工艺过程（或施工活动）的类别及其相关的事故风险。</w:t>
      </w:r>
    </w:p>
    <w:p w14:paraId="39F6A9F1">
      <w:pPr>
        <w:spacing w:line="360" w:lineRule="auto"/>
        <w:ind w:firstLine="420" w:firstLineChars="200"/>
        <w:jc w:val="left"/>
        <w:rPr>
          <w:rFonts w:ascii="宋体" w:hAnsi="宋体"/>
          <w:color w:val="auto"/>
          <w:szCs w:val="21"/>
          <w:highlight w:val="none"/>
        </w:rPr>
      </w:pPr>
      <w:r>
        <w:rPr>
          <w:rFonts w:hint="eastAsia" w:ascii="宋体" w:hAnsi="宋体"/>
          <w:color w:val="auto"/>
          <w:szCs w:val="21"/>
          <w:highlight w:val="none"/>
        </w:rPr>
        <w:t>（5）主要火灾危险（可燃物、点火源）。</w:t>
      </w:r>
    </w:p>
    <w:p w14:paraId="0D879F36">
      <w:pPr>
        <w:spacing w:line="360" w:lineRule="auto"/>
        <w:ind w:firstLine="420" w:firstLineChars="200"/>
        <w:jc w:val="left"/>
        <w:rPr>
          <w:rFonts w:ascii="宋体" w:hAnsi="宋体"/>
          <w:color w:val="auto"/>
          <w:szCs w:val="21"/>
          <w:highlight w:val="none"/>
        </w:rPr>
      </w:pPr>
      <w:r>
        <w:rPr>
          <w:rFonts w:hint="eastAsia" w:ascii="宋体" w:hAnsi="宋体"/>
          <w:color w:val="auto"/>
          <w:szCs w:val="21"/>
          <w:highlight w:val="none"/>
        </w:rPr>
        <w:t>（6）主要自然灾害（洪水、大风、雷暴、暴雨、地质灾害等）。</w:t>
      </w:r>
    </w:p>
    <w:p w14:paraId="436907AF">
      <w:pPr>
        <w:spacing w:line="360" w:lineRule="auto"/>
        <w:ind w:firstLine="420" w:firstLineChars="200"/>
        <w:jc w:val="left"/>
        <w:rPr>
          <w:rFonts w:ascii="宋体" w:hAnsi="宋体"/>
          <w:color w:val="auto"/>
          <w:szCs w:val="21"/>
          <w:highlight w:val="none"/>
        </w:rPr>
      </w:pPr>
      <w:r>
        <w:rPr>
          <w:rFonts w:hint="eastAsia" w:ascii="宋体" w:hAnsi="宋体"/>
          <w:color w:val="auto"/>
          <w:szCs w:val="21"/>
          <w:highlight w:val="none"/>
        </w:rPr>
        <w:t>（7）主要环境保护事件（有害垃圾、机械的跑冒滴漏、原材料流失、水土流失等）。</w:t>
      </w:r>
    </w:p>
    <w:p w14:paraId="11D234FF">
      <w:pPr>
        <w:spacing w:line="360" w:lineRule="auto"/>
        <w:ind w:firstLine="420" w:firstLineChars="200"/>
        <w:jc w:val="left"/>
        <w:rPr>
          <w:rFonts w:ascii="宋体" w:hAnsi="宋体"/>
          <w:color w:val="auto"/>
          <w:szCs w:val="21"/>
          <w:highlight w:val="none"/>
        </w:rPr>
      </w:pPr>
      <w:r>
        <w:rPr>
          <w:rFonts w:hint="eastAsia" w:ascii="宋体" w:hAnsi="宋体"/>
          <w:color w:val="auto"/>
          <w:szCs w:val="21"/>
          <w:highlight w:val="none"/>
        </w:rPr>
        <w:t>（8）其他。</w:t>
      </w:r>
    </w:p>
    <w:p w14:paraId="4DD07AF1">
      <w:pPr>
        <w:spacing w:line="360" w:lineRule="auto"/>
        <w:ind w:firstLine="420" w:firstLineChars="200"/>
        <w:jc w:val="left"/>
        <w:rPr>
          <w:rFonts w:ascii="宋体" w:hAnsi="宋体"/>
          <w:color w:val="auto"/>
          <w:szCs w:val="21"/>
          <w:highlight w:val="none"/>
        </w:rPr>
      </w:pPr>
      <w:r>
        <w:rPr>
          <w:rFonts w:hint="eastAsia" w:ascii="宋体" w:hAnsi="宋体"/>
          <w:color w:val="auto"/>
          <w:szCs w:val="21"/>
          <w:highlight w:val="none"/>
        </w:rPr>
        <w:t>2．承包人应针对识别出的危险源制定有针对性的事故预防措施并确保在施工中得到有效落实。</w:t>
      </w:r>
    </w:p>
    <w:p w14:paraId="48694853">
      <w:pPr>
        <w:spacing w:line="360" w:lineRule="auto"/>
        <w:ind w:firstLine="420" w:firstLineChars="200"/>
        <w:jc w:val="left"/>
        <w:rPr>
          <w:rFonts w:ascii="宋体" w:hAnsi="宋体"/>
          <w:color w:val="auto"/>
          <w:szCs w:val="21"/>
          <w:highlight w:val="none"/>
        </w:rPr>
      </w:pPr>
      <w:r>
        <w:rPr>
          <w:rFonts w:hint="eastAsia" w:ascii="宋体" w:hAnsi="宋体"/>
          <w:color w:val="auto"/>
          <w:szCs w:val="21"/>
          <w:highlight w:val="none"/>
        </w:rPr>
        <w:t>3．承包人应建立日常施工活动的动态作业风险分析和安全交底制度。该制度应明确规定风险分析的方法、责任和交底的内容、时间及记录。</w:t>
      </w:r>
    </w:p>
    <w:p w14:paraId="59245963">
      <w:pPr>
        <w:spacing w:line="360" w:lineRule="auto"/>
        <w:ind w:firstLine="420" w:firstLineChars="200"/>
        <w:jc w:val="left"/>
        <w:rPr>
          <w:rFonts w:ascii="宋体" w:hAnsi="宋体"/>
          <w:color w:val="auto"/>
          <w:szCs w:val="21"/>
          <w:highlight w:val="none"/>
        </w:rPr>
      </w:pPr>
      <w:bookmarkStart w:id="1485" w:name="_Toc247431439"/>
      <w:bookmarkStart w:id="1486" w:name="_Toc239510305"/>
      <w:bookmarkStart w:id="1487" w:name="_Toc247418279"/>
      <w:r>
        <w:rPr>
          <w:rFonts w:hint="eastAsia" w:ascii="宋体" w:hAnsi="宋体"/>
          <w:color w:val="auto"/>
          <w:szCs w:val="21"/>
          <w:highlight w:val="none"/>
        </w:rPr>
        <w:t>（二）现场作业基本安全条件</w:t>
      </w:r>
      <w:bookmarkEnd w:id="1485"/>
      <w:bookmarkEnd w:id="1486"/>
      <w:bookmarkEnd w:id="1487"/>
    </w:p>
    <w:p w14:paraId="64B2ABA3">
      <w:pPr>
        <w:spacing w:line="360" w:lineRule="auto"/>
        <w:ind w:firstLine="420" w:firstLineChars="200"/>
        <w:jc w:val="left"/>
        <w:rPr>
          <w:rFonts w:ascii="宋体" w:hAnsi="宋体"/>
          <w:color w:val="auto"/>
          <w:szCs w:val="21"/>
          <w:highlight w:val="none"/>
        </w:rPr>
      </w:pPr>
      <w:r>
        <w:rPr>
          <w:rFonts w:hint="eastAsia" w:ascii="宋体" w:hAnsi="宋体"/>
          <w:color w:val="auto"/>
          <w:szCs w:val="21"/>
          <w:highlight w:val="none"/>
        </w:rPr>
        <w:t>承包人应规定现场作业的基本安全条件，包括照明条件、通风条件、作业平台和通道条件、物料堆放条件、供电供水条件、吸烟点、休息点等，并对临边现场、道路上作业现场、立体交叉作业现场、地面坑洞和沟道、夜间作业现场等的基本安全条件做出规定。</w:t>
      </w:r>
    </w:p>
    <w:p w14:paraId="48B6ABCF">
      <w:pPr>
        <w:spacing w:line="360" w:lineRule="auto"/>
        <w:ind w:firstLine="420" w:firstLineChars="200"/>
        <w:rPr>
          <w:rFonts w:ascii="宋体" w:hAnsi="宋体"/>
          <w:color w:val="auto"/>
          <w:szCs w:val="21"/>
          <w:highlight w:val="none"/>
        </w:rPr>
      </w:pPr>
      <w:bookmarkStart w:id="1488" w:name="_Toc532375715"/>
      <w:bookmarkStart w:id="1489" w:name="_Toc239510306"/>
      <w:bookmarkStart w:id="1490" w:name="_Toc247431440"/>
      <w:bookmarkStart w:id="1491" w:name="_Toc247418280"/>
      <w:r>
        <w:rPr>
          <w:rFonts w:hint="eastAsia" w:ascii="宋体" w:hAnsi="宋体"/>
          <w:color w:val="auto"/>
          <w:szCs w:val="21"/>
          <w:highlight w:val="none"/>
        </w:rPr>
        <w:t>十五、事故报告与应急救援</w:t>
      </w:r>
      <w:bookmarkEnd w:id="1488"/>
      <w:bookmarkEnd w:id="1489"/>
      <w:bookmarkEnd w:id="1490"/>
      <w:bookmarkEnd w:id="1491"/>
    </w:p>
    <w:p w14:paraId="7D33474F">
      <w:pPr>
        <w:spacing w:line="360" w:lineRule="auto"/>
        <w:ind w:firstLine="420" w:firstLineChars="200"/>
        <w:jc w:val="left"/>
        <w:rPr>
          <w:rFonts w:ascii="宋体" w:hAnsi="宋体"/>
          <w:color w:val="auto"/>
          <w:szCs w:val="21"/>
          <w:highlight w:val="none"/>
        </w:rPr>
      </w:pPr>
      <w:r>
        <w:rPr>
          <w:rFonts w:hint="eastAsia" w:ascii="宋体" w:hAnsi="宋体"/>
          <w:color w:val="auto"/>
          <w:szCs w:val="21"/>
          <w:highlight w:val="none"/>
        </w:rPr>
        <w:t>1．承包人应制定对于未遂事故及以上级别的安全事件和事故，定期报送安全月度快报、季报、年报和各种专项事故报告等。</w:t>
      </w:r>
    </w:p>
    <w:p w14:paraId="31917CC4">
      <w:pPr>
        <w:spacing w:line="360" w:lineRule="auto"/>
        <w:ind w:firstLine="420" w:firstLineChars="200"/>
        <w:jc w:val="left"/>
        <w:rPr>
          <w:rFonts w:ascii="宋体" w:hAnsi="宋体"/>
          <w:color w:val="auto"/>
          <w:szCs w:val="21"/>
          <w:highlight w:val="none"/>
        </w:rPr>
      </w:pPr>
      <w:r>
        <w:rPr>
          <w:rFonts w:hint="eastAsia" w:ascii="宋体" w:hAnsi="宋体"/>
          <w:color w:val="auto"/>
          <w:szCs w:val="21"/>
          <w:highlight w:val="none"/>
        </w:rPr>
        <w:t>2．承包人应建立安全事故统计记录、未遂事故统计记录、违章统计记录，并根据统计情况进行分析，并就分析结果制定相应的预防措施。</w:t>
      </w:r>
    </w:p>
    <w:p w14:paraId="0A72EF2E">
      <w:pPr>
        <w:spacing w:line="360" w:lineRule="auto"/>
        <w:ind w:firstLine="420" w:firstLineChars="200"/>
        <w:jc w:val="left"/>
        <w:rPr>
          <w:rFonts w:ascii="宋体" w:hAnsi="宋体"/>
          <w:color w:val="auto"/>
          <w:szCs w:val="21"/>
          <w:highlight w:val="none"/>
        </w:rPr>
      </w:pPr>
      <w:r>
        <w:rPr>
          <w:rFonts w:hint="eastAsia" w:ascii="宋体" w:hAnsi="宋体"/>
          <w:color w:val="auto"/>
          <w:szCs w:val="21"/>
          <w:highlight w:val="none"/>
        </w:rPr>
        <w:t>3．承包人应建立事故应急救援机制，明确事故处置的基本原则，即现场发生事故时，首先抢救生命，向救援组织报警，并采取措施限制事故扩大。</w:t>
      </w:r>
    </w:p>
    <w:p w14:paraId="453A3900">
      <w:pPr>
        <w:spacing w:line="360" w:lineRule="auto"/>
        <w:ind w:firstLine="420" w:firstLineChars="200"/>
        <w:jc w:val="left"/>
        <w:rPr>
          <w:rFonts w:ascii="宋体" w:hAnsi="宋体"/>
          <w:color w:val="auto"/>
          <w:szCs w:val="21"/>
          <w:highlight w:val="none"/>
        </w:rPr>
      </w:pPr>
      <w:r>
        <w:rPr>
          <w:rFonts w:hint="eastAsia" w:ascii="宋体" w:hAnsi="宋体"/>
          <w:color w:val="auto"/>
          <w:szCs w:val="21"/>
          <w:highlight w:val="none"/>
        </w:rPr>
        <w:t>4．承包人应建立相应的应急响应组织，以便能迅速处理突发意外。</w:t>
      </w:r>
    </w:p>
    <w:p w14:paraId="2BFFB029">
      <w:pPr>
        <w:spacing w:line="360" w:lineRule="auto"/>
        <w:ind w:firstLine="420" w:firstLineChars="200"/>
        <w:jc w:val="left"/>
        <w:rPr>
          <w:rFonts w:ascii="宋体" w:hAnsi="宋体"/>
          <w:color w:val="auto"/>
          <w:szCs w:val="21"/>
          <w:highlight w:val="none"/>
        </w:rPr>
      </w:pPr>
      <w:r>
        <w:rPr>
          <w:rFonts w:hint="eastAsia" w:ascii="宋体" w:hAnsi="宋体"/>
          <w:color w:val="auto"/>
          <w:szCs w:val="21"/>
          <w:highlight w:val="none"/>
        </w:rPr>
        <w:t>5．承包人应建立专项应急响应预案，包括重大人身伤亡事故的救护预案、火灾响应预案、“四防”预案（防风、防冻、防雷、防暴雨）、重大疫病防护预案、环境污染防护预案、地质灾害防护预案等。</w:t>
      </w:r>
    </w:p>
    <w:p w14:paraId="1A6CB876">
      <w:pPr>
        <w:spacing w:line="360" w:lineRule="auto"/>
        <w:ind w:firstLine="420" w:firstLineChars="200"/>
        <w:jc w:val="left"/>
        <w:rPr>
          <w:rFonts w:ascii="宋体" w:hAnsi="宋体"/>
          <w:color w:val="auto"/>
          <w:szCs w:val="21"/>
          <w:highlight w:val="none"/>
        </w:rPr>
      </w:pPr>
      <w:r>
        <w:rPr>
          <w:rFonts w:hint="eastAsia" w:ascii="宋体" w:hAnsi="宋体"/>
          <w:color w:val="auto"/>
          <w:szCs w:val="21"/>
          <w:highlight w:val="none"/>
        </w:rPr>
        <w:t>6．承包人应对应急预案进行适当演练，保证应急预案的可操作性。</w:t>
      </w:r>
    </w:p>
    <w:p w14:paraId="4171EE7D">
      <w:pPr>
        <w:spacing w:line="360" w:lineRule="auto"/>
        <w:ind w:firstLine="420" w:firstLineChars="200"/>
        <w:jc w:val="left"/>
        <w:rPr>
          <w:rFonts w:ascii="宋体" w:hAnsi="宋体"/>
          <w:color w:val="auto"/>
          <w:szCs w:val="21"/>
          <w:highlight w:val="none"/>
        </w:rPr>
      </w:pPr>
      <w:r>
        <w:rPr>
          <w:rFonts w:hint="eastAsia" w:ascii="宋体" w:hAnsi="宋体"/>
          <w:color w:val="auto"/>
          <w:szCs w:val="21"/>
          <w:highlight w:val="none"/>
        </w:rPr>
        <w:t>7．在工地的其他施工单位发生重大事故时，承包人应无条件立即配合、支持事故抢险。</w:t>
      </w:r>
    </w:p>
    <w:p w14:paraId="1C593316">
      <w:pPr>
        <w:spacing w:line="360" w:lineRule="auto"/>
        <w:ind w:firstLine="420" w:firstLineChars="200"/>
        <w:jc w:val="left"/>
        <w:rPr>
          <w:rFonts w:ascii="宋体" w:hAnsi="宋体"/>
          <w:color w:val="auto"/>
          <w:szCs w:val="21"/>
          <w:highlight w:val="none"/>
        </w:rPr>
      </w:pPr>
      <w:r>
        <w:rPr>
          <w:rFonts w:hint="eastAsia" w:ascii="宋体" w:hAnsi="宋体"/>
          <w:color w:val="auto"/>
          <w:szCs w:val="21"/>
          <w:highlight w:val="none"/>
        </w:rPr>
        <w:t>8．承包人必须为事故处置支付各项费用，包括受伤者的抚恤、补偿等费用，并按合同要求赔偿对发包人造成的损失。</w:t>
      </w:r>
    </w:p>
    <w:p w14:paraId="1984F9A9">
      <w:pPr>
        <w:spacing w:line="360" w:lineRule="auto"/>
        <w:ind w:firstLine="420" w:firstLineChars="200"/>
        <w:jc w:val="left"/>
        <w:rPr>
          <w:rFonts w:ascii="宋体" w:hAnsi="宋体"/>
          <w:color w:val="auto"/>
          <w:szCs w:val="21"/>
          <w:highlight w:val="none"/>
        </w:rPr>
      </w:pPr>
      <w:r>
        <w:rPr>
          <w:rFonts w:hint="eastAsia" w:ascii="宋体" w:hAnsi="宋体"/>
          <w:color w:val="auto"/>
          <w:szCs w:val="21"/>
          <w:highlight w:val="none"/>
        </w:rPr>
        <w:t>9．由于发包人原因而造成的事故，发包人应负责按事故的具体损失情况给予承包人经济赔偿。</w:t>
      </w:r>
    </w:p>
    <w:p w14:paraId="192B612E">
      <w:pPr>
        <w:spacing w:line="360" w:lineRule="auto"/>
        <w:ind w:firstLine="420" w:firstLineChars="200"/>
        <w:jc w:val="left"/>
        <w:rPr>
          <w:rFonts w:ascii="宋体" w:hAnsi="宋体"/>
          <w:color w:val="auto"/>
          <w:szCs w:val="21"/>
          <w:highlight w:val="none"/>
        </w:rPr>
      </w:pPr>
      <w:r>
        <w:rPr>
          <w:rFonts w:hint="eastAsia" w:ascii="宋体" w:hAnsi="宋体"/>
          <w:color w:val="auto"/>
          <w:szCs w:val="21"/>
          <w:highlight w:val="none"/>
        </w:rPr>
        <w:t>10．涉及承包人员工的伤害事故，承包人除要报告发包人委托的监理公司外，还应负责按照国家、行业和本单位上级公司的要求，上报事故。</w:t>
      </w:r>
    </w:p>
    <w:p w14:paraId="4B0792F6">
      <w:pPr>
        <w:spacing w:line="360" w:lineRule="auto"/>
        <w:ind w:firstLine="420" w:firstLineChars="200"/>
        <w:rPr>
          <w:rFonts w:ascii="宋体" w:hAnsi="宋体"/>
          <w:color w:val="auto"/>
          <w:szCs w:val="21"/>
          <w:highlight w:val="none"/>
        </w:rPr>
      </w:pPr>
      <w:bookmarkStart w:id="1492" w:name="_Toc532375716"/>
      <w:bookmarkStart w:id="1493" w:name="_Toc239510307"/>
      <w:bookmarkStart w:id="1494" w:name="_Toc247431441"/>
      <w:bookmarkStart w:id="1495" w:name="_Toc247418281"/>
      <w:r>
        <w:rPr>
          <w:rFonts w:hint="eastAsia" w:ascii="宋体" w:hAnsi="宋体"/>
          <w:color w:val="auto"/>
          <w:szCs w:val="21"/>
          <w:highlight w:val="none"/>
        </w:rPr>
        <w:t>十六、安全业绩考核</w:t>
      </w:r>
      <w:bookmarkEnd w:id="1492"/>
      <w:bookmarkEnd w:id="1493"/>
      <w:bookmarkEnd w:id="1494"/>
      <w:bookmarkEnd w:id="1495"/>
    </w:p>
    <w:p w14:paraId="0C262809">
      <w:pPr>
        <w:spacing w:line="360" w:lineRule="auto"/>
        <w:ind w:firstLine="420" w:firstLineChars="200"/>
        <w:jc w:val="left"/>
        <w:rPr>
          <w:rFonts w:ascii="宋体" w:hAnsi="宋体"/>
          <w:color w:val="auto"/>
          <w:szCs w:val="21"/>
          <w:highlight w:val="none"/>
        </w:rPr>
      </w:pPr>
      <w:r>
        <w:rPr>
          <w:rFonts w:hint="eastAsia" w:ascii="宋体" w:hAnsi="宋体"/>
          <w:color w:val="auto"/>
          <w:szCs w:val="21"/>
          <w:highlight w:val="none"/>
        </w:rPr>
        <w:t>为了落实安全管理的责任，承包人在施工过程中发生安全事故时，承包人除应按国家有关规定承担责任和处罚外，发包人还将按照以下标准进行考核：</w:t>
      </w:r>
    </w:p>
    <w:tbl>
      <w:tblPr>
        <w:tblStyle w:val="48"/>
        <w:tblW w:w="7005" w:type="dxa"/>
        <w:jc w:val="center"/>
        <w:tblLayout w:type="fixed"/>
        <w:tblCellMar>
          <w:top w:w="0" w:type="dxa"/>
          <w:left w:w="0" w:type="dxa"/>
          <w:bottom w:w="0" w:type="dxa"/>
          <w:right w:w="0" w:type="dxa"/>
        </w:tblCellMar>
      </w:tblPr>
      <w:tblGrid>
        <w:gridCol w:w="3240"/>
        <w:gridCol w:w="3765"/>
      </w:tblGrid>
      <w:tr w14:paraId="3E9A9F69">
        <w:tblPrEx>
          <w:tblCellMar>
            <w:top w:w="0" w:type="dxa"/>
            <w:left w:w="0" w:type="dxa"/>
            <w:bottom w:w="0" w:type="dxa"/>
            <w:right w:w="0" w:type="dxa"/>
          </w:tblCellMar>
        </w:tblPrEx>
        <w:trPr>
          <w:trHeight w:val="188" w:hRule="atLeast"/>
          <w:jc w:val="center"/>
        </w:trPr>
        <w:tc>
          <w:tcPr>
            <w:tcW w:w="3240" w:type="dxa"/>
            <w:tcBorders>
              <w:top w:val="single" w:color="auto" w:sz="8" w:space="0"/>
              <w:left w:val="single" w:color="auto" w:sz="8" w:space="0"/>
              <w:bottom w:val="single" w:color="auto" w:sz="8" w:space="0"/>
              <w:right w:val="single" w:color="auto" w:sz="8" w:space="0"/>
            </w:tcBorders>
            <w:tcMar>
              <w:top w:w="0" w:type="dxa"/>
              <w:left w:w="108" w:type="dxa"/>
              <w:bottom w:w="0" w:type="dxa"/>
              <w:right w:w="108" w:type="dxa"/>
            </w:tcMar>
            <w:vAlign w:val="center"/>
          </w:tcPr>
          <w:p w14:paraId="4DE19C9C">
            <w:pPr>
              <w:spacing w:line="360" w:lineRule="auto"/>
              <w:ind w:firstLine="420" w:firstLineChars="200"/>
              <w:jc w:val="left"/>
              <w:rPr>
                <w:rFonts w:ascii="宋体" w:hAnsi="宋体"/>
                <w:color w:val="auto"/>
                <w:szCs w:val="21"/>
                <w:highlight w:val="none"/>
              </w:rPr>
            </w:pPr>
            <w:r>
              <w:rPr>
                <w:rFonts w:hint="eastAsia" w:ascii="宋体" w:hAnsi="宋体"/>
                <w:color w:val="auto"/>
                <w:szCs w:val="21"/>
                <w:highlight w:val="none"/>
              </w:rPr>
              <w:t>事件类型</w:t>
            </w:r>
          </w:p>
        </w:tc>
        <w:tc>
          <w:tcPr>
            <w:tcW w:w="3765" w:type="dxa"/>
            <w:tcBorders>
              <w:top w:val="single" w:color="auto" w:sz="8" w:space="0"/>
              <w:left w:val="nil"/>
              <w:bottom w:val="single" w:color="auto" w:sz="8" w:space="0"/>
              <w:right w:val="single" w:color="auto" w:sz="8" w:space="0"/>
            </w:tcBorders>
            <w:tcMar>
              <w:top w:w="0" w:type="dxa"/>
              <w:left w:w="108" w:type="dxa"/>
              <w:bottom w:w="0" w:type="dxa"/>
              <w:right w:w="108" w:type="dxa"/>
            </w:tcMar>
            <w:vAlign w:val="center"/>
          </w:tcPr>
          <w:p w14:paraId="13EF0646">
            <w:pPr>
              <w:spacing w:line="360" w:lineRule="auto"/>
              <w:ind w:firstLine="420" w:firstLineChars="200"/>
              <w:jc w:val="left"/>
              <w:rPr>
                <w:rFonts w:ascii="宋体" w:hAnsi="宋体"/>
                <w:color w:val="auto"/>
                <w:szCs w:val="21"/>
                <w:highlight w:val="none"/>
              </w:rPr>
            </w:pPr>
            <w:r>
              <w:rPr>
                <w:rFonts w:hint="eastAsia" w:ascii="宋体" w:hAnsi="宋体"/>
                <w:color w:val="auto"/>
                <w:szCs w:val="21"/>
                <w:highlight w:val="none"/>
              </w:rPr>
              <w:t>违约金额</w:t>
            </w:r>
          </w:p>
        </w:tc>
      </w:tr>
      <w:tr w14:paraId="5924164F">
        <w:tblPrEx>
          <w:tblCellMar>
            <w:top w:w="0" w:type="dxa"/>
            <w:left w:w="0" w:type="dxa"/>
            <w:bottom w:w="0" w:type="dxa"/>
            <w:right w:w="0" w:type="dxa"/>
          </w:tblCellMar>
        </w:tblPrEx>
        <w:trPr>
          <w:trHeight w:val="281" w:hRule="atLeast"/>
          <w:jc w:val="center"/>
        </w:trPr>
        <w:tc>
          <w:tcPr>
            <w:tcW w:w="3240" w:type="dxa"/>
            <w:tcBorders>
              <w:top w:val="single" w:color="auto" w:sz="8" w:space="0"/>
              <w:left w:val="single" w:color="auto" w:sz="8" w:space="0"/>
              <w:bottom w:val="single" w:color="auto" w:sz="8" w:space="0"/>
              <w:right w:val="single" w:color="auto" w:sz="8" w:space="0"/>
            </w:tcBorders>
            <w:tcMar>
              <w:top w:w="0" w:type="dxa"/>
              <w:left w:w="108" w:type="dxa"/>
              <w:bottom w:w="0" w:type="dxa"/>
              <w:right w:w="108" w:type="dxa"/>
            </w:tcMar>
            <w:vAlign w:val="center"/>
          </w:tcPr>
          <w:p w14:paraId="23094956">
            <w:pPr>
              <w:spacing w:line="360" w:lineRule="auto"/>
              <w:ind w:firstLine="420" w:firstLineChars="200"/>
              <w:jc w:val="left"/>
              <w:rPr>
                <w:rFonts w:ascii="宋体" w:hAnsi="宋体"/>
                <w:color w:val="auto"/>
                <w:szCs w:val="21"/>
                <w:highlight w:val="none"/>
              </w:rPr>
            </w:pPr>
            <w:r>
              <w:rPr>
                <w:rFonts w:hint="eastAsia" w:ascii="宋体" w:hAnsi="宋体"/>
                <w:color w:val="auto"/>
                <w:szCs w:val="21"/>
                <w:highlight w:val="none"/>
              </w:rPr>
              <w:t>较大事故</w:t>
            </w:r>
          </w:p>
        </w:tc>
        <w:tc>
          <w:tcPr>
            <w:tcW w:w="3765" w:type="dxa"/>
            <w:tcBorders>
              <w:top w:val="single" w:color="auto" w:sz="8" w:space="0"/>
              <w:left w:val="nil"/>
              <w:bottom w:val="single" w:color="auto" w:sz="8" w:space="0"/>
              <w:right w:val="single" w:color="auto" w:sz="8" w:space="0"/>
            </w:tcBorders>
            <w:vAlign w:val="center"/>
          </w:tcPr>
          <w:p w14:paraId="08A13931">
            <w:pPr>
              <w:spacing w:line="360" w:lineRule="auto"/>
              <w:ind w:firstLine="420" w:firstLineChars="200"/>
              <w:jc w:val="left"/>
              <w:rPr>
                <w:rFonts w:ascii="宋体" w:hAnsi="宋体"/>
                <w:color w:val="auto"/>
                <w:szCs w:val="21"/>
                <w:highlight w:val="none"/>
              </w:rPr>
            </w:pPr>
            <w:r>
              <w:rPr>
                <w:rFonts w:hint="eastAsia" w:ascii="宋体" w:hAnsi="宋体"/>
                <w:color w:val="auto"/>
                <w:kern w:val="0"/>
                <w:szCs w:val="21"/>
                <w:highlight w:val="none"/>
              </w:rPr>
              <w:t>签约合同价</w:t>
            </w:r>
            <w:r>
              <w:rPr>
                <w:rFonts w:hint="eastAsia" w:ascii="宋体" w:hAnsi="宋体"/>
                <w:color w:val="auto"/>
                <w:szCs w:val="21"/>
                <w:highlight w:val="none"/>
              </w:rPr>
              <w:t>的0.5‰</w:t>
            </w:r>
          </w:p>
        </w:tc>
      </w:tr>
      <w:tr w14:paraId="6DACC6A1">
        <w:tblPrEx>
          <w:tblCellMar>
            <w:top w:w="0" w:type="dxa"/>
            <w:left w:w="0" w:type="dxa"/>
            <w:bottom w:w="0" w:type="dxa"/>
            <w:right w:w="0" w:type="dxa"/>
          </w:tblCellMar>
        </w:tblPrEx>
        <w:trPr>
          <w:trHeight w:val="274" w:hRule="atLeast"/>
          <w:jc w:val="center"/>
        </w:trPr>
        <w:tc>
          <w:tcPr>
            <w:tcW w:w="3240" w:type="dxa"/>
            <w:tcBorders>
              <w:top w:val="single" w:color="auto" w:sz="8" w:space="0"/>
              <w:left w:val="single" w:color="auto" w:sz="8" w:space="0"/>
              <w:bottom w:val="single" w:color="auto" w:sz="8" w:space="0"/>
              <w:right w:val="single" w:color="auto" w:sz="8" w:space="0"/>
            </w:tcBorders>
            <w:tcMar>
              <w:top w:w="0" w:type="dxa"/>
              <w:left w:w="108" w:type="dxa"/>
              <w:bottom w:w="0" w:type="dxa"/>
              <w:right w:w="108" w:type="dxa"/>
            </w:tcMar>
            <w:vAlign w:val="center"/>
          </w:tcPr>
          <w:p w14:paraId="66B06852">
            <w:pPr>
              <w:spacing w:line="360" w:lineRule="auto"/>
              <w:ind w:firstLine="420" w:firstLineChars="200"/>
              <w:jc w:val="left"/>
              <w:rPr>
                <w:rFonts w:ascii="宋体" w:hAnsi="宋体"/>
                <w:color w:val="auto"/>
                <w:szCs w:val="21"/>
                <w:highlight w:val="none"/>
              </w:rPr>
            </w:pPr>
            <w:r>
              <w:rPr>
                <w:rFonts w:hint="eastAsia" w:ascii="宋体" w:hAnsi="宋体"/>
                <w:color w:val="auto"/>
                <w:szCs w:val="21"/>
                <w:highlight w:val="none"/>
              </w:rPr>
              <w:t>重大事故</w:t>
            </w:r>
          </w:p>
        </w:tc>
        <w:tc>
          <w:tcPr>
            <w:tcW w:w="3765" w:type="dxa"/>
            <w:tcBorders>
              <w:top w:val="single" w:color="auto" w:sz="8" w:space="0"/>
              <w:left w:val="nil"/>
              <w:bottom w:val="single" w:color="auto" w:sz="8" w:space="0"/>
              <w:right w:val="single" w:color="auto" w:sz="8" w:space="0"/>
            </w:tcBorders>
            <w:vAlign w:val="center"/>
          </w:tcPr>
          <w:p w14:paraId="1DB92E0D">
            <w:pPr>
              <w:spacing w:line="360" w:lineRule="auto"/>
              <w:ind w:firstLine="420" w:firstLineChars="200"/>
              <w:jc w:val="left"/>
              <w:rPr>
                <w:rFonts w:ascii="宋体" w:hAnsi="宋体"/>
                <w:color w:val="auto"/>
                <w:szCs w:val="21"/>
                <w:highlight w:val="none"/>
              </w:rPr>
            </w:pPr>
            <w:r>
              <w:rPr>
                <w:rFonts w:hint="eastAsia" w:ascii="宋体" w:hAnsi="宋体"/>
                <w:color w:val="auto"/>
                <w:szCs w:val="21"/>
                <w:highlight w:val="none"/>
              </w:rPr>
              <w:t>签约合同价的2‰</w:t>
            </w:r>
          </w:p>
        </w:tc>
      </w:tr>
      <w:tr w14:paraId="6B1DE26D">
        <w:tblPrEx>
          <w:tblCellMar>
            <w:top w:w="0" w:type="dxa"/>
            <w:left w:w="0" w:type="dxa"/>
            <w:bottom w:w="0" w:type="dxa"/>
            <w:right w:w="0" w:type="dxa"/>
          </w:tblCellMar>
        </w:tblPrEx>
        <w:trPr>
          <w:trHeight w:val="138" w:hRule="atLeast"/>
          <w:jc w:val="center"/>
        </w:trPr>
        <w:tc>
          <w:tcPr>
            <w:tcW w:w="3240" w:type="dxa"/>
            <w:tcBorders>
              <w:top w:val="single" w:color="auto" w:sz="8" w:space="0"/>
              <w:left w:val="single" w:color="auto" w:sz="8" w:space="0"/>
              <w:bottom w:val="single" w:color="auto" w:sz="8" w:space="0"/>
              <w:right w:val="single" w:color="auto" w:sz="8" w:space="0"/>
            </w:tcBorders>
            <w:tcMar>
              <w:top w:w="0" w:type="dxa"/>
              <w:left w:w="108" w:type="dxa"/>
              <w:bottom w:w="0" w:type="dxa"/>
              <w:right w:w="108" w:type="dxa"/>
            </w:tcMar>
            <w:vAlign w:val="center"/>
          </w:tcPr>
          <w:p w14:paraId="554E0C60">
            <w:pPr>
              <w:spacing w:line="360" w:lineRule="auto"/>
              <w:ind w:firstLine="420" w:firstLineChars="200"/>
              <w:jc w:val="left"/>
              <w:rPr>
                <w:rFonts w:ascii="宋体" w:hAnsi="宋体"/>
                <w:color w:val="auto"/>
                <w:szCs w:val="21"/>
                <w:highlight w:val="none"/>
              </w:rPr>
            </w:pPr>
            <w:r>
              <w:rPr>
                <w:rFonts w:hint="eastAsia" w:ascii="宋体" w:hAnsi="宋体"/>
                <w:color w:val="auto"/>
                <w:szCs w:val="21"/>
                <w:highlight w:val="none"/>
              </w:rPr>
              <w:t>特别重大事故</w:t>
            </w:r>
          </w:p>
        </w:tc>
        <w:tc>
          <w:tcPr>
            <w:tcW w:w="3765" w:type="dxa"/>
            <w:tcBorders>
              <w:top w:val="single" w:color="auto" w:sz="8" w:space="0"/>
              <w:left w:val="nil"/>
              <w:bottom w:val="single" w:color="auto" w:sz="8" w:space="0"/>
              <w:right w:val="single" w:color="auto" w:sz="8" w:space="0"/>
            </w:tcBorders>
            <w:vAlign w:val="center"/>
          </w:tcPr>
          <w:p w14:paraId="6D685E5A">
            <w:pPr>
              <w:spacing w:line="360" w:lineRule="auto"/>
              <w:ind w:firstLine="420" w:firstLineChars="200"/>
              <w:jc w:val="left"/>
              <w:rPr>
                <w:rFonts w:ascii="宋体" w:hAnsi="宋体"/>
                <w:color w:val="auto"/>
                <w:szCs w:val="21"/>
                <w:highlight w:val="none"/>
              </w:rPr>
            </w:pPr>
            <w:r>
              <w:rPr>
                <w:rFonts w:hint="eastAsia" w:ascii="宋体" w:hAnsi="宋体"/>
                <w:color w:val="auto"/>
                <w:szCs w:val="21"/>
                <w:highlight w:val="none"/>
              </w:rPr>
              <w:t>签约合同价的4‰</w:t>
            </w:r>
          </w:p>
        </w:tc>
      </w:tr>
    </w:tbl>
    <w:p w14:paraId="5EB8EF84">
      <w:pPr>
        <w:spacing w:line="360" w:lineRule="auto"/>
        <w:ind w:firstLine="420" w:firstLineChars="200"/>
        <w:jc w:val="left"/>
        <w:rPr>
          <w:rFonts w:ascii="宋体" w:hAnsi="宋体"/>
          <w:color w:val="auto"/>
          <w:szCs w:val="21"/>
          <w:highlight w:val="none"/>
        </w:rPr>
      </w:pPr>
      <w:r>
        <w:rPr>
          <w:rFonts w:hint="eastAsia" w:ascii="宋体" w:hAnsi="宋体"/>
          <w:color w:val="auto"/>
          <w:szCs w:val="21"/>
          <w:highlight w:val="none"/>
        </w:rPr>
        <w:t>（1）较大事故，是指造成3人以上10人以下死亡，或者10人以上50人以下重伤，或者1000万元以上5000万元以下直接经济损失的事故；</w:t>
      </w:r>
    </w:p>
    <w:p w14:paraId="1EEF27F1">
      <w:pPr>
        <w:spacing w:line="360" w:lineRule="auto"/>
        <w:ind w:firstLine="420" w:firstLineChars="200"/>
        <w:jc w:val="left"/>
        <w:rPr>
          <w:rFonts w:ascii="宋体" w:hAnsi="宋体"/>
          <w:color w:val="auto"/>
          <w:szCs w:val="21"/>
          <w:highlight w:val="none"/>
        </w:rPr>
      </w:pPr>
      <w:r>
        <w:rPr>
          <w:rFonts w:hint="eastAsia" w:ascii="宋体" w:hAnsi="宋体"/>
          <w:color w:val="auto"/>
          <w:szCs w:val="21"/>
          <w:highlight w:val="none"/>
        </w:rPr>
        <w:t>（2）重大事故，是指造成10人以上30人以下死亡，或者50人以上100人以下重伤，或者5000万元以上1亿元以下直接经济损失的事故；</w:t>
      </w:r>
    </w:p>
    <w:p w14:paraId="213C94A2">
      <w:pPr>
        <w:spacing w:line="360" w:lineRule="auto"/>
        <w:ind w:firstLine="420" w:firstLineChars="200"/>
        <w:jc w:val="left"/>
        <w:rPr>
          <w:rFonts w:ascii="宋体" w:hAnsi="宋体"/>
          <w:color w:val="auto"/>
          <w:szCs w:val="21"/>
          <w:highlight w:val="none"/>
        </w:rPr>
      </w:pPr>
      <w:r>
        <w:rPr>
          <w:rFonts w:hint="eastAsia" w:ascii="宋体" w:hAnsi="宋体"/>
          <w:color w:val="auto"/>
          <w:szCs w:val="21"/>
          <w:highlight w:val="none"/>
        </w:rPr>
        <w:t>（3）特别重大事故，是指造成30人以上死亡，或者100人以上重伤（包括急性工业中毒，下同），或者1亿元以上直接经济损失的事故；</w:t>
      </w:r>
    </w:p>
    <w:p w14:paraId="669271C6">
      <w:pPr>
        <w:spacing w:line="276" w:lineRule="auto"/>
        <w:ind w:firstLine="420" w:firstLineChars="200"/>
        <w:jc w:val="left"/>
        <w:rPr>
          <w:rFonts w:ascii="宋体" w:hAnsi="宋体"/>
          <w:color w:val="auto"/>
          <w:szCs w:val="21"/>
          <w:highlight w:val="none"/>
        </w:rPr>
      </w:pPr>
      <w:r>
        <w:rPr>
          <w:rFonts w:hint="eastAsia" w:ascii="宋体" w:hAnsi="宋体"/>
          <w:color w:val="auto"/>
          <w:szCs w:val="21"/>
          <w:highlight w:val="none"/>
        </w:rPr>
        <w:t>（4）所称的“以上”包括本数，所称的“以下”不包括本数。</w:t>
      </w:r>
    </w:p>
    <w:p w14:paraId="7ABF27B3">
      <w:pPr>
        <w:spacing w:line="276" w:lineRule="auto"/>
        <w:ind w:firstLine="420" w:firstLineChars="200"/>
        <w:jc w:val="left"/>
        <w:rPr>
          <w:rFonts w:ascii="宋体" w:hAnsi="宋体"/>
          <w:color w:val="auto"/>
          <w:szCs w:val="21"/>
          <w:highlight w:val="none"/>
        </w:rPr>
      </w:pPr>
      <w:r>
        <w:rPr>
          <w:rFonts w:hint="eastAsia" w:ascii="宋体" w:hAnsi="宋体"/>
          <w:color w:val="auto"/>
          <w:szCs w:val="21"/>
          <w:highlight w:val="none"/>
        </w:rPr>
        <w:t>（5）如整个施工过程未发生以上安全事故，则给予承包人建安费总额的1‰的安全奖励。</w:t>
      </w:r>
    </w:p>
    <w:p w14:paraId="1247B072">
      <w:pPr>
        <w:spacing w:line="276" w:lineRule="auto"/>
        <w:ind w:firstLine="420" w:firstLineChars="200"/>
        <w:jc w:val="left"/>
        <w:rPr>
          <w:rFonts w:ascii="宋体" w:hAnsi="宋体"/>
          <w:color w:val="auto"/>
          <w:szCs w:val="21"/>
          <w:highlight w:val="none"/>
        </w:rPr>
      </w:pPr>
      <w:r>
        <w:rPr>
          <w:rFonts w:hint="eastAsia" w:ascii="宋体" w:hAnsi="宋体"/>
          <w:color w:val="auto"/>
          <w:szCs w:val="21"/>
          <w:highlight w:val="none"/>
        </w:rPr>
        <w:t xml:space="preserve">发包人委托的监理公司负责对承包人的安全业绩进行考核。每次合同支付前，承包人提交自我安全业绩评估报告，然后交发包人委托的监理公司评价。发包人委托的监理公司在签署评价意见后，将作为合同支付依据之一，同时也作为是否可接受承包人再次参加发包人项目投标的依据之一。 </w:t>
      </w:r>
    </w:p>
    <w:p w14:paraId="627F9557">
      <w:pPr>
        <w:spacing w:line="276" w:lineRule="auto"/>
        <w:ind w:firstLine="420" w:firstLineChars="200"/>
        <w:rPr>
          <w:rFonts w:ascii="宋体" w:hAnsi="宋体"/>
          <w:color w:val="auto"/>
          <w:szCs w:val="21"/>
          <w:highlight w:val="none"/>
        </w:rPr>
      </w:pPr>
      <w:bookmarkStart w:id="1496" w:name="_Toc239510308"/>
      <w:bookmarkStart w:id="1497" w:name="_Toc247418282"/>
      <w:bookmarkStart w:id="1498" w:name="_Toc247431442"/>
      <w:bookmarkStart w:id="1499" w:name="_Toc532375717"/>
      <w:r>
        <w:rPr>
          <w:rFonts w:hint="eastAsia" w:ascii="宋体" w:hAnsi="宋体"/>
          <w:color w:val="auto"/>
          <w:szCs w:val="21"/>
          <w:highlight w:val="none"/>
        </w:rPr>
        <w:t>十七、协议条款的修订</w:t>
      </w:r>
      <w:bookmarkEnd w:id="1496"/>
      <w:bookmarkEnd w:id="1497"/>
      <w:bookmarkEnd w:id="1498"/>
      <w:bookmarkEnd w:id="1499"/>
    </w:p>
    <w:p w14:paraId="453EC981">
      <w:pPr>
        <w:spacing w:line="276" w:lineRule="auto"/>
        <w:ind w:firstLine="420" w:firstLineChars="200"/>
        <w:jc w:val="left"/>
        <w:rPr>
          <w:rFonts w:ascii="宋体" w:hAnsi="宋体"/>
          <w:color w:val="auto"/>
          <w:szCs w:val="21"/>
          <w:highlight w:val="none"/>
        </w:rPr>
      </w:pPr>
      <w:r>
        <w:rPr>
          <w:rFonts w:hint="eastAsia" w:ascii="宋体" w:hAnsi="宋体"/>
          <w:color w:val="auto"/>
          <w:szCs w:val="21"/>
          <w:highlight w:val="none"/>
        </w:rPr>
        <w:t>在项目实施过程中，经双方友好协商，本协议的有关条款也可做出相应的修改。</w:t>
      </w:r>
    </w:p>
    <w:p w14:paraId="07E373AA">
      <w:pPr>
        <w:spacing w:line="276" w:lineRule="auto"/>
        <w:ind w:firstLine="420" w:firstLineChars="200"/>
        <w:jc w:val="left"/>
        <w:rPr>
          <w:rFonts w:ascii="宋体" w:hAnsi="宋体"/>
          <w:color w:val="auto"/>
          <w:szCs w:val="21"/>
          <w:highlight w:val="none"/>
        </w:rPr>
      </w:pPr>
      <w:r>
        <w:rPr>
          <w:rFonts w:hint="eastAsia" w:ascii="宋体" w:hAnsi="宋体"/>
          <w:color w:val="auto"/>
          <w:szCs w:val="21"/>
          <w:highlight w:val="none"/>
        </w:rPr>
        <w:t>本工程安全管理协议，由发包人、承包人双方在施工承包合同签订后7天内共同签署，作为施工合同附件。</w:t>
      </w:r>
    </w:p>
    <w:p w14:paraId="034F628B">
      <w:pPr>
        <w:spacing w:line="360" w:lineRule="auto"/>
        <w:ind w:firstLine="420" w:firstLineChars="200"/>
        <w:jc w:val="left"/>
        <w:rPr>
          <w:rFonts w:ascii="宋体" w:hAnsi="宋体"/>
          <w:color w:val="auto"/>
          <w:szCs w:val="21"/>
          <w:highlight w:val="none"/>
        </w:rPr>
      </w:pPr>
      <w:r>
        <w:rPr>
          <w:rFonts w:hint="eastAsia" w:ascii="宋体" w:hAnsi="宋体"/>
          <w:color w:val="auto"/>
          <w:szCs w:val="21"/>
          <w:highlight w:val="none"/>
        </w:rPr>
        <w:t>发  包  人（公章）：</w:t>
      </w:r>
      <w:r>
        <w:rPr>
          <w:rFonts w:hint="eastAsia" w:ascii="宋体" w:hAnsi="宋体" w:cs="宋体"/>
          <w:color w:val="auto"/>
          <w:szCs w:val="21"/>
          <w:highlight w:val="none"/>
          <w:u w:val="single"/>
        </w:rPr>
        <w:t xml:space="preserve">                       </w:t>
      </w:r>
    </w:p>
    <w:p w14:paraId="271FE77F">
      <w:pPr>
        <w:spacing w:line="360" w:lineRule="auto"/>
        <w:ind w:firstLine="420" w:firstLineChars="200"/>
        <w:jc w:val="left"/>
        <w:rPr>
          <w:rFonts w:ascii="宋体" w:hAnsi="宋体"/>
          <w:color w:val="auto"/>
          <w:szCs w:val="21"/>
          <w:highlight w:val="none"/>
        </w:rPr>
      </w:pPr>
      <w:r>
        <w:rPr>
          <w:rFonts w:hint="eastAsia" w:ascii="宋体" w:hAnsi="宋体"/>
          <w:color w:val="auto"/>
          <w:szCs w:val="21"/>
          <w:highlight w:val="none"/>
        </w:rPr>
        <w:t>法定代表人（签字）：</w:t>
      </w:r>
      <w:r>
        <w:rPr>
          <w:rFonts w:hint="eastAsia" w:ascii="宋体" w:hAnsi="宋体" w:cs="宋体"/>
          <w:color w:val="auto"/>
          <w:szCs w:val="21"/>
          <w:highlight w:val="none"/>
          <w:u w:val="single"/>
        </w:rPr>
        <w:t xml:space="preserve">                       </w:t>
      </w:r>
      <w:r>
        <w:rPr>
          <w:rFonts w:hint="eastAsia" w:ascii="宋体" w:hAnsi="宋体"/>
          <w:color w:val="auto"/>
          <w:szCs w:val="21"/>
          <w:highlight w:val="none"/>
        </w:rPr>
        <w:t xml:space="preserve">  </w:t>
      </w:r>
    </w:p>
    <w:p w14:paraId="3A9BBDB2">
      <w:pPr>
        <w:spacing w:line="360" w:lineRule="auto"/>
        <w:ind w:firstLine="420" w:firstLineChars="200"/>
        <w:jc w:val="left"/>
        <w:rPr>
          <w:rFonts w:ascii="宋体" w:hAnsi="宋体"/>
          <w:color w:val="auto"/>
          <w:szCs w:val="21"/>
          <w:highlight w:val="none"/>
        </w:rPr>
      </w:pPr>
      <w:r>
        <w:rPr>
          <w:rFonts w:hint="eastAsia" w:ascii="宋体" w:hAnsi="宋体"/>
          <w:color w:val="auto"/>
          <w:szCs w:val="21"/>
          <w:highlight w:val="none"/>
        </w:rPr>
        <w:t>或其委托代理人（签字）：</w:t>
      </w:r>
      <w:r>
        <w:rPr>
          <w:rFonts w:hint="eastAsia" w:ascii="宋体" w:hAnsi="宋体" w:cs="宋体"/>
          <w:color w:val="auto"/>
          <w:szCs w:val="21"/>
          <w:highlight w:val="none"/>
          <w:u w:val="single"/>
        </w:rPr>
        <w:t xml:space="preserve">                   </w:t>
      </w:r>
      <w:r>
        <w:rPr>
          <w:rFonts w:hint="eastAsia" w:ascii="宋体" w:hAnsi="宋体"/>
          <w:color w:val="auto"/>
          <w:szCs w:val="21"/>
          <w:highlight w:val="none"/>
        </w:rPr>
        <w:t xml:space="preserve">  </w:t>
      </w:r>
    </w:p>
    <w:p w14:paraId="6648472E">
      <w:pPr>
        <w:spacing w:line="360" w:lineRule="auto"/>
        <w:ind w:firstLine="420" w:firstLineChars="200"/>
        <w:jc w:val="left"/>
        <w:rPr>
          <w:rFonts w:ascii="宋体" w:hAnsi="宋体"/>
          <w:color w:val="auto"/>
          <w:szCs w:val="21"/>
          <w:highlight w:val="none"/>
        </w:rPr>
      </w:pPr>
    </w:p>
    <w:p w14:paraId="27CD8CFA">
      <w:pPr>
        <w:spacing w:line="360" w:lineRule="auto"/>
        <w:ind w:firstLine="420" w:firstLineChars="200"/>
        <w:jc w:val="left"/>
        <w:rPr>
          <w:rFonts w:ascii="宋体" w:hAnsi="宋体"/>
          <w:color w:val="auto"/>
          <w:kern w:val="0"/>
          <w:szCs w:val="21"/>
          <w:highlight w:val="none"/>
        </w:rPr>
      </w:pPr>
      <w:r>
        <w:rPr>
          <w:rFonts w:hint="eastAsia" w:ascii="宋体" w:hAnsi="宋体"/>
          <w:color w:val="auto"/>
          <w:szCs w:val="21"/>
          <w:highlight w:val="none"/>
        </w:rPr>
        <w:t>承  包  人（公章）：</w:t>
      </w:r>
      <w:r>
        <w:rPr>
          <w:rFonts w:hint="eastAsia" w:ascii="宋体" w:hAnsi="宋体" w:cs="宋体"/>
          <w:color w:val="auto"/>
          <w:szCs w:val="21"/>
          <w:highlight w:val="none"/>
          <w:u w:val="single"/>
        </w:rPr>
        <w:t xml:space="preserve">                       </w:t>
      </w:r>
    </w:p>
    <w:p w14:paraId="4FB60E5B">
      <w:pPr>
        <w:spacing w:line="360" w:lineRule="auto"/>
        <w:ind w:firstLine="420" w:firstLineChars="200"/>
        <w:jc w:val="left"/>
        <w:rPr>
          <w:rFonts w:ascii="宋体" w:hAnsi="宋体"/>
          <w:color w:val="auto"/>
          <w:szCs w:val="21"/>
          <w:highlight w:val="none"/>
        </w:rPr>
      </w:pPr>
      <w:r>
        <w:rPr>
          <w:rFonts w:hint="eastAsia" w:ascii="宋体" w:hAnsi="宋体"/>
          <w:color w:val="auto"/>
          <w:szCs w:val="21"/>
          <w:highlight w:val="none"/>
        </w:rPr>
        <w:t>法定代表人（签字）：</w:t>
      </w:r>
      <w:r>
        <w:rPr>
          <w:rFonts w:hint="eastAsia" w:ascii="宋体" w:hAnsi="宋体" w:cs="宋体"/>
          <w:color w:val="auto"/>
          <w:szCs w:val="21"/>
          <w:highlight w:val="none"/>
          <w:u w:val="single"/>
        </w:rPr>
        <w:t xml:space="preserve">                       </w:t>
      </w:r>
    </w:p>
    <w:p w14:paraId="230B7F18">
      <w:pPr>
        <w:spacing w:line="360" w:lineRule="auto"/>
        <w:ind w:firstLine="420" w:firstLineChars="200"/>
        <w:jc w:val="left"/>
        <w:rPr>
          <w:rFonts w:ascii="宋体" w:hAnsi="宋体"/>
          <w:color w:val="auto"/>
          <w:kern w:val="0"/>
          <w:szCs w:val="21"/>
          <w:highlight w:val="none"/>
        </w:rPr>
      </w:pPr>
      <w:r>
        <w:rPr>
          <w:rFonts w:hint="eastAsia" w:ascii="宋体" w:hAnsi="宋体"/>
          <w:color w:val="auto"/>
          <w:szCs w:val="21"/>
          <w:highlight w:val="none"/>
        </w:rPr>
        <w:t>或其委托代理人（签字）：</w:t>
      </w:r>
      <w:r>
        <w:rPr>
          <w:rFonts w:hint="eastAsia" w:ascii="宋体" w:hAnsi="宋体" w:cs="宋体"/>
          <w:color w:val="auto"/>
          <w:szCs w:val="21"/>
          <w:highlight w:val="none"/>
          <w:u w:val="single"/>
        </w:rPr>
        <w:t xml:space="preserve">                   </w:t>
      </w:r>
    </w:p>
    <w:p w14:paraId="1AC92CB0">
      <w:pPr>
        <w:snapToGrid w:val="0"/>
        <w:spacing w:line="360" w:lineRule="auto"/>
        <w:jc w:val="left"/>
        <w:rPr>
          <w:rFonts w:ascii="宋体" w:hAnsi="宋体"/>
          <w:color w:val="auto"/>
          <w:kern w:val="0"/>
          <w:szCs w:val="21"/>
          <w:highlight w:val="none"/>
        </w:rPr>
      </w:pPr>
      <w:r>
        <w:rPr>
          <w:rFonts w:hint="eastAsia" w:ascii="宋体" w:hAnsi="宋体"/>
          <w:color w:val="auto"/>
          <w:szCs w:val="21"/>
          <w:highlight w:val="none"/>
        </w:rPr>
        <w:br w:type="page"/>
      </w:r>
    </w:p>
    <w:p w14:paraId="7ACA4B24">
      <w:pPr>
        <w:spacing w:line="480" w:lineRule="auto"/>
        <w:rPr>
          <w:rFonts w:ascii="宋体" w:hAnsi="宋体"/>
          <w:color w:val="auto"/>
          <w:szCs w:val="21"/>
          <w:highlight w:val="none"/>
        </w:rPr>
      </w:pPr>
      <w:r>
        <w:rPr>
          <w:rFonts w:hint="eastAsia" w:ascii="宋体" w:hAnsi="宋体"/>
          <w:color w:val="auto"/>
          <w:szCs w:val="21"/>
          <w:highlight w:val="none"/>
        </w:rPr>
        <w:t>附件5：保障农民工工资支付协议</w:t>
      </w:r>
    </w:p>
    <w:p w14:paraId="143A4380">
      <w:pPr>
        <w:spacing w:before="120" w:beforeLines="50" w:after="120" w:afterLines="50" w:line="480" w:lineRule="auto"/>
        <w:jc w:val="center"/>
        <w:rPr>
          <w:rFonts w:ascii="宋体" w:hAnsi="宋体"/>
          <w:color w:val="auto"/>
          <w:szCs w:val="21"/>
          <w:highlight w:val="none"/>
        </w:rPr>
      </w:pPr>
      <w:r>
        <w:rPr>
          <w:rFonts w:hint="eastAsia" w:ascii="宋体" w:hAnsi="宋体"/>
          <w:color w:val="auto"/>
          <w:szCs w:val="21"/>
          <w:highlight w:val="none"/>
        </w:rPr>
        <w:t>保障农民工工资支付协议</w:t>
      </w:r>
    </w:p>
    <w:p w14:paraId="73579D49">
      <w:pPr>
        <w:snapToGrid w:val="0"/>
        <w:spacing w:line="480" w:lineRule="auto"/>
        <w:rPr>
          <w:rFonts w:ascii="宋体" w:hAnsi="宋体"/>
          <w:color w:val="auto"/>
          <w:szCs w:val="21"/>
          <w:highlight w:val="none"/>
        </w:rPr>
      </w:pPr>
      <w:r>
        <w:rPr>
          <w:rFonts w:hint="eastAsia" w:ascii="宋体" w:hAnsi="宋体"/>
          <w:color w:val="auto"/>
          <w:szCs w:val="21"/>
          <w:highlight w:val="none"/>
        </w:rPr>
        <w:t xml:space="preserve"> 发包人：</w:t>
      </w:r>
      <w:r>
        <w:rPr>
          <w:rFonts w:hint="eastAsia" w:ascii="宋体" w:hAnsi="宋体" w:cs="宋体"/>
          <w:color w:val="auto"/>
          <w:szCs w:val="21"/>
          <w:highlight w:val="none"/>
          <w:u w:val="single"/>
        </w:rPr>
        <w:t xml:space="preserve">                                 </w:t>
      </w:r>
      <w:r>
        <w:rPr>
          <w:rFonts w:hint="eastAsia" w:ascii="宋体" w:hAnsi="宋体"/>
          <w:color w:val="auto"/>
          <w:szCs w:val="21"/>
          <w:highlight w:val="none"/>
        </w:rPr>
        <w:t>（发包人）</w:t>
      </w:r>
    </w:p>
    <w:p w14:paraId="30F34086">
      <w:pPr>
        <w:snapToGrid w:val="0"/>
        <w:spacing w:line="360" w:lineRule="auto"/>
        <w:rPr>
          <w:rFonts w:ascii="宋体" w:hAnsi="宋体"/>
          <w:color w:val="auto"/>
          <w:szCs w:val="21"/>
          <w:highlight w:val="none"/>
        </w:rPr>
      </w:pPr>
      <w:r>
        <w:rPr>
          <w:rFonts w:hint="eastAsia" w:ascii="宋体" w:hAnsi="宋体"/>
          <w:color w:val="auto"/>
          <w:szCs w:val="21"/>
          <w:highlight w:val="none"/>
        </w:rPr>
        <w:t xml:space="preserve"> 承包人：</w:t>
      </w:r>
      <w:r>
        <w:rPr>
          <w:rFonts w:hint="eastAsia" w:ascii="宋体" w:hAnsi="宋体" w:cs="宋体"/>
          <w:color w:val="auto"/>
          <w:szCs w:val="21"/>
          <w:highlight w:val="none"/>
          <w:u w:val="single"/>
        </w:rPr>
        <w:t xml:space="preserve">                                 </w:t>
      </w:r>
      <w:r>
        <w:rPr>
          <w:rFonts w:hint="eastAsia" w:ascii="宋体" w:hAnsi="宋体"/>
          <w:color w:val="auto"/>
          <w:szCs w:val="21"/>
          <w:highlight w:val="none"/>
        </w:rPr>
        <w:t>（承包人）</w:t>
      </w:r>
    </w:p>
    <w:p w14:paraId="519F56CB">
      <w:pPr>
        <w:spacing w:line="360" w:lineRule="auto"/>
        <w:ind w:firstLine="420" w:firstLineChars="200"/>
        <w:rPr>
          <w:rFonts w:ascii="宋体" w:hAnsi="宋体"/>
          <w:color w:val="auto"/>
          <w:szCs w:val="21"/>
          <w:highlight w:val="none"/>
        </w:rPr>
      </w:pPr>
      <w:r>
        <w:rPr>
          <w:rFonts w:hint="eastAsia" w:ascii="宋体" w:hAnsi="宋体"/>
          <w:color w:val="auto"/>
          <w:szCs w:val="21"/>
          <w:highlight w:val="none"/>
        </w:rPr>
        <w:t>为贯彻落实《国务院办公厅关于全面治理拖欠农民工工资问题的意见》（国办发〔2016〕1号），《重庆市人民政府办公厅关于全面治理拖欠农民工工资问题的实施意见》（渝府办发〔2016〕101号），健全预防和解决拖欠农民工工资问题的长效机制，切实保障农民工劳动报酬权益，维护社会公平正义，促进社会和谐稳定。经甲、乙双方结合实际情况，友好协商，达成如下协议：</w:t>
      </w:r>
    </w:p>
    <w:p w14:paraId="5209E7BA">
      <w:pPr>
        <w:spacing w:line="360" w:lineRule="auto"/>
        <w:ind w:firstLine="420" w:firstLineChars="200"/>
        <w:rPr>
          <w:rFonts w:ascii="宋体" w:hAnsi="宋体"/>
          <w:color w:val="auto"/>
          <w:szCs w:val="21"/>
          <w:highlight w:val="none"/>
        </w:rPr>
      </w:pPr>
      <w:r>
        <w:rPr>
          <w:rFonts w:hint="eastAsia" w:ascii="宋体" w:hAnsi="宋体"/>
          <w:color w:val="auto"/>
          <w:szCs w:val="21"/>
          <w:highlight w:val="none"/>
        </w:rPr>
        <w:t>一、承包人申报工程进度款时，应对上月已支付工程款用于农民工工资发放的情况进行说明，并附农民工代表按时足额收取了工资的签字确认书。监理单位应对相关情况说明和签字确认书（详附件）进行审查签字后，与工程进度款申报资料一并提交给发包人。发包人审核合格后，才进行当期工程进度款的支付。</w:t>
      </w:r>
    </w:p>
    <w:p w14:paraId="6D590718">
      <w:pPr>
        <w:spacing w:line="360" w:lineRule="auto"/>
        <w:ind w:firstLine="420" w:firstLineChars="200"/>
        <w:rPr>
          <w:rFonts w:ascii="宋体" w:hAnsi="宋体"/>
          <w:color w:val="auto"/>
          <w:szCs w:val="21"/>
          <w:highlight w:val="none"/>
        </w:rPr>
      </w:pPr>
      <w:r>
        <w:rPr>
          <w:rFonts w:hint="eastAsia" w:ascii="宋体" w:hAnsi="宋体"/>
          <w:color w:val="auto"/>
          <w:szCs w:val="21"/>
          <w:highlight w:val="none"/>
        </w:rPr>
        <w:t>二、由于工程进度款申报和审查需一定时间，其与农民工工资发放时间存在一定时间的延后，承包人应具有垫付不低于3个月农民工工资能力。承包人在本补充协议签订后申请的第一笔工程进度款时应出具垫付不低于3个月农民工工资的书面承诺给发包人。发包人将承包人是否做出承诺作为支付工程进度款的前提条件之一。</w:t>
      </w:r>
    </w:p>
    <w:p w14:paraId="51C72D6B">
      <w:pPr>
        <w:spacing w:line="360" w:lineRule="auto"/>
        <w:ind w:firstLine="420" w:firstLineChars="200"/>
        <w:rPr>
          <w:rFonts w:ascii="宋体" w:hAnsi="宋体"/>
          <w:color w:val="auto"/>
          <w:szCs w:val="21"/>
          <w:highlight w:val="none"/>
        </w:rPr>
      </w:pPr>
      <w:r>
        <w:rPr>
          <w:rFonts w:hint="eastAsia" w:ascii="宋体" w:hAnsi="宋体"/>
          <w:color w:val="auto"/>
          <w:szCs w:val="21"/>
          <w:highlight w:val="none"/>
        </w:rPr>
        <w:t>三、承包人每月10日前将本月作业班组、班组人数、农民工身份信息等报监理单位，10日～15日分别以作业班组为小组，每小组自行选举产生一名农民工代表，监理单位应全程监督，选举结果与当期工程款支付申请一并报送发包人。</w:t>
      </w:r>
    </w:p>
    <w:p w14:paraId="3B853074">
      <w:pPr>
        <w:spacing w:line="360" w:lineRule="auto"/>
        <w:ind w:firstLine="420" w:firstLineChars="200"/>
        <w:rPr>
          <w:rFonts w:ascii="宋体" w:hAnsi="宋体"/>
          <w:color w:val="auto"/>
          <w:szCs w:val="21"/>
          <w:highlight w:val="none"/>
        </w:rPr>
      </w:pPr>
      <w:r>
        <w:rPr>
          <w:rFonts w:hint="eastAsia" w:ascii="宋体" w:hAnsi="宋体"/>
          <w:color w:val="auto"/>
          <w:szCs w:val="21"/>
          <w:highlight w:val="none"/>
        </w:rPr>
        <w:t>四、若发现承包人有下列事项的，发包人在支付当期进度款时暂扣当期应支付进度款5%比例的款项。</w:t>
      </w:r>
    </w:p>
    <w:p w14:paraId="751CAB1D">
      <w:pPr>
        <w:spacing w:line="360" w:lineRule="auto"/>
        <w:ind w:firstLine="420" w:firstLineChars="200"/>
        <w:rPr>
          <w:rFonts w:ascii="宋体" w:hAnsi="宋体"/>
          <w:color w:val="auto"/>
          <w:szCs w:val="21"/>
          <w:highlight w:val="none"/>
        </w:rPr>
      </w:pPr>
      <w:r>
        <w:rPr>
          <w:rFonts w:hint="eastAsia" w:ascii="宋体" w:hAnsi="宋体"/>
          <w:color w:val="auto"/>
          <w:szCs w:val="21"/>
          <w:highlight w:val="none"/>
        </w:rPr>
        <w:t xml:space="preserve">    （一）现场检查发现项目存在拖欠农民工工资情况并经核查属实的；</w:t>
      </w:r>
    </w:p>
    <w:p w14:paraId="03412ACB">
      <w:pPr>
        <w:spacing w:line="360" w:lineRule="auto"/>
        <w:ind w:firstLine="420" w:firstLineChars="200"/>
        <w:rPr>
          <w:rFonts w:ascii="宋体" w:hAnsi="宋体"/>
          <w:color w:val="auto"/>
          <w:szCs w:val="21"/>
          <w:highlight w:val="none"/>
        </w:rPr>
      </w:pPr>
      <w:r>
        <w:rPr>
          <w:rFonts w:hint="eastAsia" w:ascii="宋体" w:hAnsi="宋体"/>
          <w:color w:val="auto"/>
          <w:szCs w:val="21"/>
          <w:highlight w:val="none"/>
        </w:rPr>
        <w:t>（二）相关行政管理部门检查发现存在拖欠农民工工资情况并经核查属实的；</w:t>
      </w:r>
    </w:p>
    <w:p w14:paraId="09A57034">
      <w:pPr>
        <w:spacing w:line="360" w:lineRule="auto"/>
        <w:ind w:firstLine="420" w:firstLineChars="200"/>
        <w:rPr>
          <w:rFonts w:ascii="宋体" w:hAnsi="宋体"/>
          <w:color w:val="auto"/>
          <w:szCs w:val="21"/>
          <w:highlight w:val="none"/>
        </w:rPr>
      </w:pPr>
      <w:r>
        <w:rPr>
          <w:rFonts w:hint="eastAsia" w:ascii="宋体" w:hAnsi="宋体"/>
          <w:color w:val="auto"/>
          <w:szCs w:val="21"/>
          <w:highlight w:val="none"/>
        </w:rPr>
        <w:t xml:space="preserve">    （三）有拖欠农民工工资投诉事项并经核查属实的。</w:t>
      </w:r>
    </w:p>
    <w:p w14:paraId="27EB39D2">
      <w:pPr>
        <w:spacing w:line="360" w:lineRule="auto"/>
        <w:ind w:firstLine="420" w:firstLineChars="200"/>
        <w:rPr>
          <w:rFonts w:ascii="宋体" w:hAnsi="宋体"/>
          <w:color w:val="auto"/>
          <w:szCs w:val="21"/>
          <w:highlight w:val="none"/>
        </w:rPr>
      </w:pPr>
      <w:r>
        <w:rPr>
          <w:rFonts w:hint="eastAsia" w:ascii="宋体" w:hAnsi="宋体"/>
          <w:color w:val="auto"/>
          <w:szCs w:val="21"/>
          <w:highlight w:val="none"/>
        </w:rPr>
        <w:t xml:space="preserve">    五、对发现的存在拖欠农民工工资事项，承包人应在3天内限时整改，并将整改措施和结果报发包人审查，经发包人批准同意后，在下一期工程进度款支付中返还暂扣的工程款；如承包人未在3天内限时整改，暂扣工程款将继续扣留，直至整改完毕。暂扣款不计息。</w:t>
      </w:r>
    </w:p>
    <w:p w14:paraId="4C90B543">
      <w:pPr>
        <w:tabs>
          <w:tab w:val="left" w:pos="1080"/>
          <w:tab w:val="left" w:pos="1260"/>
          <w:tab w:val="left" w:pos="1440"/>
        </w:tabs>
        <w:spacing w:line="360" w:lineRule="auto"/>
        <w:ind w:firstLine="420" w:firstLineChars="200"/>
        <w:rPr>
          <w:rFonts w:ascii="宋体" w:hAnsi="宋体"/>
          <w:snapToGrid w:val="0"/>
          <w:color w:val="auto"/>
          <w:spacing w:val="-4"/>
          <w:kern w:val="0"/>
          <w:szCs w:val="21"/>
          <w:highlight w:val="none"/>
        </w:rPr>
      </w:pPr>
      <w:r>
        <w:rPr>
          <w:rFonts w:hint="eastAsia" w:ascii="宋体" w:hAnsi="宋体"/>
          <w:color w:val="auto"/>
          <w:szCs w:val="21"/>
          <w:highlight w:val="none"/>
        </w:rPr>
        <w:t>六、本协议经双方法定代表人或委托代理人签字并加盖公章后生效，履行完毕后自然失效。</w:t>
      </w:r>
    </w:p>
    <w:p w14:paraId="45AD70AB">
      <w:pPr>
        <w:pStyle w:val="2"/>
        <w:spacing w:line="360" w:lineRule="auto"/>
        <w:ind w:firstLine="400" w:firstLineChars="200"/>
        <w:rPr>
          <w:rFonts w:ascii="宋体" w:hAnsi="宋体"/>
          <w:color w:val="auto"/>
          <w:szCs w:val="21"/>
          <w:highlight w:val="none"/>
        </w:rPr>
      </w:pPr>
    </w:p>
    <w:p w14:paraId="0C29F6AE">
      <w:pPr>
        <w:pStyle w:val="2"/>
        <w:spacing w:line="360" w:lineRule="auto"/>
        <w:ind w:firstLine="400" w:firstLineChars="200"/>
        <w:rPr>
          <w:rFonts w:ascii="宋体" w:hAnsi="宋体"/>
          <w:color w:val="auto"/>
          <w:szCs w:val="21"/>
          <w:highlight w:val="none"/>
        </w:rPr>
      </w:pPr>
    </w:p>
    <w:p w14:paraId="2202A168">
      <w:pPr>
        <w:pStyle w:val="2"/>
        <w:spacing w:line="360" w:lineRule="auto"/>
        <w:ind w:firstLine="400" w:firstLineChars="200"/>
        <w:rPr>
          <w:rFonts w:ascii="宋体" w:hAnsi="宋体"/>
          <w:color w:val="auto"/>
          <w:szCs w:val="21"/>
          <w:highlight w:val="none"/>
        </w:rPr>
      </w:pPr>
    </w:p>
    <w:p w14:paraId="153B1D7C">
      <w:pPr>
        <w:spacing w:line="360" w:lineRule="auto"/>
        <w:ind w:firstLine="420" w:firstLineChars="200"/>
        <w:rPr>
          <w:rFonts w:ascii="宋体" w:hAnsi="宋体"/>
          <w:color w:val="auto"/>
          <w:szCs w:val="21"/>
          <w:highlight w:val="none"/>
        </w:rPr>
      </w:pPr>
      <w:r>
        <w:rPr>
          <w:rFonts w:hint="eastAsia" w:ascii="宋体" w:hAnsi="宋体"/>
          <w:color w:val="auto"/>
          <w:szCs w:val="21"/>
          <w:highlight w:val="none"/>
        </w:rPr>
        <w:t>（以下无正文）</w:t>
      </w:r>
    </w:p>
    <w:p w14:paraId="7172BF2C">
      <w:pPr>
        <w:spacing w:line="360" w:lineRule="auto"/>
        <w:ind w:firstLine="420" w:firstLineChars="200"/>
        <w:rPr>
          <w:rFonts w:ascii="宋体" w:hAnsi="宋体"/>
          <w:color w:val="auto"/>
          <w:szCs w:val="21"/>
          <w:highlight w:val="none"/>
        </w:rPr>
      </w:pPr>
    </w:p>
    <w:p w14:paraId="508BBAA5">
      <w:pPr>
        <w:spacing w:line="360" w:lineRule="auto"/>
        <w:ind w:firstLine="420" w:firstLineChars="200"/>
        <w:rPr>
          <w:rFonts w:ascii="宋体" w:hAnsi="宋体"/>
          <w:color w:val="auto"/>
          <w:szCs w:val="21"/>
          <w:highlight w:val="none"/>
        </w:rPr>
      </w:pPr>
    </w:p>
    <w:p w14:paraId="42877E13">
      <w:pPr>
        <w:pStyle w:val="2"/>
        <w:spacing w:line="360" w:lineRule="auto"/>
        <w:rPr>
          <w:rFonts w:ascii="宋体" w:hAnsi="宋体"/>
          <w:color w:val="auto"/>
          <w:szCs w:val="21"/>
          <w:highlight w:val="none"/>
        </w:rPr>
      </w:pPr>
    </w:p>
    <w:p w14:paraId="476DEEDD">
      <w:pPr>
        <w:spacing w:line="360" w:lineRule="auto"/>
        <w:rPr>
          <w:rFonts w:ascii="宋体" w:hAnsi="宋体"/>
          <w:color w:val="auto"/>
          <w:szCs w:val="21"/>
          <w:highlight w:val="none"/>
        </w:rPr>
      </w:pPr>
      <w:r>
        <w:rPr>
          <w:rFonts w:hint="eastAsia" w:ascii="宋体" w:hAnsi="宋体"/>
          <w:color w:val="auto"/>
          <w:szCs w:val="21"/>
          <w:highlight w:val="none"/>
        </w:rPr>
        <w:t>发包人：</w:t>
      </w:r>
      <w:r>
        <w:rPr>
          <w:rFonts w:hint="eastAsia" w:ascii="宋体" w:hAnsi="宋体" w:cs="宋体"/>
          <w:color w:val="auto"/>
          <w:szCs w:val="21"/>
          <w:highlight w:val="none"/>
          <w:u w:val="single"/>
        </w:rPr>
        <w:t xml:space="preserve">       </w:t>
      </w:r>
      <w:r>
        <w:rPr>
          <w:rFonts w:hint="eastAsia" w:ascii="宋体" w:hAnsi="宋体"/>
          <w:color w:val="auto"/>
          <w:szCs w:val="21"/>
          <w:highlight w:val="none"/>
        </w:rPr>
        <w:t>（发包人）</w:t>
      </w:r>
    </w:p>
    <w:p w14:paraId="6B774200">
      <w:pPr>
        <w:spacing w:line="360" w:lineRule="auto"/>
        <w:rPr>
          <w:rFonts w:ascii="宋体" w:hAnsi="宋体"/>
          <w:color w:val="auto"/>
          <w:szCs w:val="21"/>
          <w:highlight w:val="none"/>
        </w:rPr>
      </w:pPr>
      <w:r>
        <w:rPr>
          <w:rFonts w:hint="eastAsia" w:ascii="宋体" w:hAnsi="宋体"/>
          <w:color w:val="auto"/>
          <w:szCs w:val="21"/>
          <w:highlight w:val="none"/>
        </w:rPr>
        <w:t>法定代表人：</w:t>
      </w:r>
      <w:r>
        <w:rPr>
          <w:rFonts w:hint="eastAsia" w:ascii="宋体" w:hAnsi="宋体" w:cs="宋体"/>
          <w:color w:val="auto"/>
          <w:szCs w:val="21"/>
          <w:highlight w:val="none"/>
          <w:u w:val="single"/>
        </w:rPr>
        <w:t xml:space="preserve">       </w:t>
      </w:r>
    </w:p>
    <w:p w14:paraId="304EC01C">
      <w:pPr>
        <w:spacing w:line="360" w:lineRule="auto"/>
        <w:rPr>
          <w:rFonts w:ascii="宋体" w:hAnsi="宋体"/>
          <w:color w:val="auto"/>
          <w:szCs w:val="21"/>
          <w:highlight w:val="none"/>
        </w:rPr>
      </w:pPr>
      <w:r>
        <w:rPr>
          <w:rFonts w:hint="eastAsia" w:ascii="宋体" w:hAnsi="宋体"/>
          <w:color w:val="auto"/>
          <w:szCs w:val="21"/>
          <w:highlight w:val="none"/>
        </w:rPr>
        <w:t>或委托代理人：</w:t>
      </w:r>
      <w:r>
        <w:rPr>
          <w:rFonts w:hint="eastAsia" w:ascii="宋体" w:hAnsi="宋体" w:cs="宋体"/>
          <w:color w:val="auto"/>
          <w:szCs w:val="21"/>
          <w:highlight w:val="none"/>
          <w:u w:val="single"/>
        </w:rPr>
        <w:t xml:space="preserve">       </w:t>
      </w:r>
    </w:p>
    <w:p w14:paraId="45111BC2">
      <w:pPr>
        <w:spacing w:line="360" w:lineRule="auto"/>
        <w:rPr>
          <w:rFonts w:ascii="宋体" w:hAnsi="宋体"/>
          <w:color w:val="auto"/>
          <w:szCs w:val="21"/>
          <w:highlight w:val="none"/>
        </w:rPr>
      </w:pPr>
      <w:r>
        <w:rPr>
          <w:rFonts w:hint="eastAsia" w:ascii="宋体" w:hAnsi="宋体"/>
          <w:color w:val="auto"/>
          <w:szCs w:val="21"/>
          <w:highlight w:val="none"/>
        </w:rPr>
        <w:t>联系人：</w:t>
      </w:r>
      <w:r>
        <w:rPr>
          <w:rFonts w:hint="eastAsia" w:ascii="宋体" w:hAnsi="宋体" w:cs="宋体"/>
          <w:color w:val="auto"/>
          <w:szCs w:val="21"/>
          <w:highlight w:val="none"/>
          <w:u w:val="single"/>
        </w:rPr>
        <w:t xml:space="preserve">       </w:t>
      </w:r>
    </w:p>
    <w:p w14:paraId="3B27AA6C">
      <w:pPr>
        <w:spacing w:line="360" w:lineRule="auto"/>
        <w:rPr>
          <w:rFonts w:ascii="宋体" w:hAnsi="宋体"/>
          <w:color w:val="auto"/>
          <w:szCs w:val="21"/>
          <w:highlight w:val="none"/>
        </w:rPr>
      </w:pPr>
    </w:p>
    <w:p w14:paraId="71687C81">
      <w:pPr>
        <w:spacing w:line="360" w:lineRule="auto"/>
        <w:rPr>
          <w:rFonts w:ascii="宋体" w:hAnsi="宋体"/>
          <w:color w:val="auto"/>
          <w:szCs w:val="21"/>
          <w:highlight w:val="none"/>
        </w:rPr>
      </w:pPr>
    </w:p>
    <w:p w14:paraId="34E0C8F9">
      <w:pPr>
        <w:spacing w:line="360" w:lineRule="auto"/>
        <w:rPr>
          <w:rFonts w:ascii="宋体" w:hAnsi="宋体"/>
          <w:color w:val="auto"/>
          <w:szCs w:val="21"/>
          <w:highlight w:val="none"/>
        </w:rPr>
      </w:pPr>
    </w:p>
    <w:p w14:paraId="619E7770">
      <w:pPr>
        <w:spacing w:line="360" w:lineRule="auto"/>
        <w:rPr>
          <w:rFonts w:ascii="宋体" w:hAnsi="宋体"/>
          <w:color w:val="auto"/>
          <w:szCs w:val="21"/>
          <w:highlight w:val="none"/>
        </w:rPr>
      </w:pPr>
      <w:r>
        <w:rPr>
          <w:rFonts w:hint="eastAsia" w:ascii="宋体" w:hAnsi="宋体"/>
          <w:color w:val="auto"/>
          <w:szCs w:val="21"/>
          <w:highlight w:val="none"/>
        </w:rPr>
        <w:t>承包人：</w:t>
      </w:r>
      <w:r>
        <w:rPr>
          <w:rFonts w:hint="eastAsia" w:ascii="宋体" w:hAnsi="宋体" w:cs="宋体"/>
          <w:color w:val="auto"/>
          <w:szCs w:val="21"/>
          <w:highlight w:val="none"/>
          <w:u w:val="single"/>
        </w:rPr>
        <w:t xml:space="preserve">       </w:t>
      </w:r>
      <w:r>
        <w:rPr>
          <w:rFonts w:hint="eastAsia" w:ascii="宋体" w:hAnsi="宋体"/>
          <w:color w:val="auto"/>
          <w:szCs w:val="21"/>
          <w:highlight w:val="none"/>
        </w:rPr>
        <w:t>（承包人）</w:t>
      </w:r>
    </w:p>
    <w:p w14:paraId="1EDE9233">
      <w:pPr>
        <w:spacing w:line="360" w:lineRule="auto"/>
        <w:rPr>
          <w:rFonts w:ascii="宋体" w:hAnsi="宋体"/>
          <w:color w:val="auto"/>
          <w:szCs w:val="21"/>
          <w:highlight w:val="none"/>
        </w:rPr>
      </w:pPr>
      <w:r>
        <w:rPr>
          <w:rFonts w:hint="eastAsia" w:ascii="宋体" w:hAnsi="宋体"/>
          <w:color w:val="auto"/>
          <w:szCs w:val="21"/>
          <w:highlight w:val="none"/>
        </w:rPr>
        <w:t>法定代表人：</w:t>
      </w:r>
      <w:r>
        <w:rPr>
          <w:rFonts w:hint="eastAsia" w:ascii="宋体" w:hAnsi="宋体" w:cs="宋体"/>
          <w:color w:val="auto"/>
          <w:szCs w:val="21"/>
          <w:highlight w:val="none"/>
          <w:u w:val="single"/>
        </w:rPr>
        <w:t xml:space="preserve">       </w:t>
      </w:r>
    </w:p>
    <w:p w14:paraId="57C367C9">
      <w:pPr>
        <w:spacing w:line="360" w:lineRule="auto"/>
        <w:rPr>
          <w:rFonts w:ascii="宋体" w:hAnsi="宋体"/>
          <w:color w:val="auto"/>
          <w:szCs w:val="21"/>
          <w:highlight w:val="none"/>
        </w:rPr>
      </w:pPr>
      <w:r>
        <w:rPr>
          <w:rFonts w:hint="eastAsia" w:ascii="宋体" w:hAnsi="宋体"/>
          <w:color w:val="auto"/>
          <w:szCs w:val="21"/>
          <w:highlight w:val="none"/>
        </w:rPr>
        <w:t>或委托代理人：</w:t>
      </w:r>
      <w:r>
        <w:rPr>
          <w:rFonts w:hint="eastAsia" w:ascii="宋体" w:hAnsi="宋体" w:cs="宋体"/>
          <w:color w:val="auto"/>
          <w:szCs w:val="21"/>
          <w:highlight w:val="none"/>
          <w:u w:val="single"/>
        </w:rPr>
        <w:t xml:space="preserve">       </w:t>
      </w:r>
    </w:p>
    <w:p w14:paraId="6BDE0769">
      <w:pPr>
        <w:spacing w:line="360" w:lineRule="auto"/>
        <w:rPr>
          <w:rFonts w:ascii="宋体" w:hAnsi="宋体"/>
          <w:color w:val="auto"/>
          <w:szCs w:val="21"/>
          <w:highlight w:val="none"/>
        </w:rPr>
      </w:pPr>
      <w:r>
        <w:rPr>
          <w:rFonts w:hint="eastAsia" w:ascii="宋体" w:hAnsi="宋体"/>
          <w:color w:val="auto"/>
          <w:szCs w:val="21"/>
          <w:highlight w:val="none"/>
        </w:rPr>
        <w:t>联系人：</w:t>
      </w:r>
      <w:r>
        <w:rPr>
          <w:rFonts w:hint="eastAsia" w:ascii="宋体" w:hAnsi="宋体" w:cs="宋体"/>
          <w:color w:val="auto"/>
          <w:szCs w:val="21"/>
          <w:highlight w:val="none"/>
          <w:u w:val="single"/>
        </w:rPr>
        <w:t xml:space="preserve">       </w:t>
      </w:r>
    </w:p>
    <w:p w14:paraId="65AFE491">
      <w:pPr>
        <w:spacing w:line="480" w:lineRule="auto"/>
        <w:rPr>
          <w:rFonts w:ascii="宋体" w:hAnsi="宋体"/>
          <w:color w:val="auto"/>
          <w:szCs w:val="21"/>
          <w:highlight w:val="none"/>
        </w:rPr>
      </w:pPr>
    </w:p>
    <w:p w14:paraId="1C8B8231">
      <w:pPr>
        <w:spacing w:line="480" w:lineRule="auto"/>
        <w:rPr>
          <w:rFonts w:ascii="宋体" w:hAnsi="宋体"/>
          <w:color w:val="auto"/>
          <w:szCs w:val="21"/>
          <w:highlight w:val="none"/>
        </w:rPr>
      </w:pPr>
    </w:p>
    <w:p w14:paraId="174BEA9A">
      <w:pPr>
        <w:spacing w:line="480" w:lineRule="auto"/>
        <w:rPr>
          <w:rFonts w:ascii="宋体" w:hAnsi="宋体"/>
          <w:color w:val="auto"/>
          <w:szCs w:val="21"/>
          <w:highlight w:val="none"/>
        </w:rPr>
      </w:pPr>
    </w:p>
    <w:p w14:paraId="4B6B369C">
      <w:pPr>
        <w:spacing w:line="480" w:lineRule="auto"/>
        <w:rPr>
          <w:rFonts w:ascii="宋体" w:hAnsi="宋体"/>
          <w:color w:val="auto"/>
          <w:szCs w:val="21"/>
          <w:highlight w:val="none"/>
        </w:rPr>
      </w:pPr>
    </w:p>
    <w:p w14:paraId="248CDA9A">
      <w:pPr>
        <w:spacing w:line="480" w:lineRule="auto"/>
        <w:rPr>
          <w:rFonts w:ascii="宋体" w:hAnsi="宋体"/>
          <w:color w:val="auto"/>
          <w:szCs w:val="21"/>
          <w:highlight w:val="none"/>
        </w:rPr>
      </w:pPr>
    </w:p>
    <w:p w14:paraId="20DE0CCD">
      <w:pPr>
        <w:spacing w:line="480" w:lineRule="auto"/>
        <w:rPr>
          <w:rFonts w:ascii="宋体" w:hAnsi="宋体"/>
          <w:color w:val="auto"/>
          <w:szCs w:val="21"/>
          <w:highlight w:val="none"/>
        </w:rPr>
      </w:pPr>
    </w:p>
    <w:p w14:paraId="3228C4A5">
      <w:pPr>
        <w:spacing w:line="480" w:lineRule="auto"/>
        <w:rPr>
          <w:rFonts w:ascii="宋体" w:hAnsi="宋体"/>
          <w:color w:val="auto"/>
          <w:szCs w:val="21"/>
          <w:highlight w:val="none"/>
        </w:rPr>
      </w:pPr>
    </w:p>
    <w:p w14:paraId="5A2149D7">
      <w:pPr>
        <w:spacing w:line="480" w:lineRule="auto"/>
        <w:rPr>
          <w:rFonts w:ascii="宋体" w:hAnsi="宋体"/>
          <w:color w:val="auto"/>
          <w:szCs w:val="21"/>
          <w:highlight w:val="none"/>
        </w:rPr>
      </w:pPr>
    </w:p>
    <w:p w14:paraId="42A13963">
      <w:pPr>
        <w:spacing w:line="480" w:lineRule="auto"/>
        <w:rPr>
          <w:rFonts w:ascii="宋体" w:hAnsi="宋体"/>
          <w:color w:val="auto"/>
          <w:szCs w:val="21"/>
          <w:highlight w:val="none"/>
        </w:rPr>
      </w:pPr>
    </w:p>
    <w:p w14:paraId="5B432FB1">
      <w:pPr>
        <w:spacing w:line="480" w:lineRule="auto"/>
        <w:rPr>
          <w:rFonts w:ascii="宋体" w:hAnsi="宋体"/>
          <w:color w:val="auto"/>
          <w:szCs w:val="21"/>
          <w:highlight w:val="none"/>
        </w:rPr>
      </w:pPr>
    </w:p>
    <w:p w14:paraId="7866D78B">
      <w:pPr>
        <w:spacing w:line="480" w:lineRule="auto"/>
        <w:rPr>
          <w:rFonts w:ascii="宋体" w:hAnsi="宋体"/>
          <w:color w:val="auto"/>
          <w:szCs w:val="21"/>
          <w:highlight w:val="none"/>
        </w:rPr>
      </w:pPr>
    </w:p>
    <w:p w14:paraId="58CF2991">
      <w:pPr>
        <w:spacing w:line="480" w:lineRule="auto"/>
        <w:rPr>
          <w:rFonts w:ascii="宋体" w:hAnsi="宋体"/>
          <w:color w:val="auto"/>
          <w:szCs w:val="21"/>
          <w:highlight w:val="none"/>
        </w:rPr>
      </w:pPr>
    </w:p>
    <w:p w14:paraId="7A1032D1">
      <w:pPr>
        <w:spacing w:line="480" w:lineRule="auto"/>
        <w:rPr>
          <w:rFonts w:ascii="宋体" w:hAnsi="宋体"/>
          <w:color w:val="auto"/>
          <w:szCs w:val="21"/>
          <w:highlight w:val="none"/>
        </w:rPr>
      </w:pPr>
    </w:p>
    <w:p w14:paraId="0BE292E3">
      <w:pPr>
        <w:spacing w:line="480" w:lineRule="auto"/>
        <w:rPr>
          <w:rFonts w:ascii="宋体" w:hAnsi="宋体"/>
          <w:color w:val="auto"/>
          <w:szCs w:val="21"/>
          <w:highlight w:val="none"/>
        </w:rPr>
      </w:pPr>
    </w:p>
    <w:p w14:paraId="2DE7D935">
      <w:pPr>
        <w:spacing w:line="480" w:lineRule="auto"/>
        <w:rPr>
          <w:rFonts w:ascii="宋体" w:hAnsi="宋体"/>
          <w:color w:val="auto"/>
          <w:szCs w:val="21"/>
          <w:highlight w:val="none"/>
        </w:rPr>
      </w:pPr>
    </w:p>
    <w:p w14:paraId="514226BE">
      <w:pPr>
        <w:spacing w:line="480" w:lineRule="auto"/>
        <w:rPr>
          <w:rFonts w:ascii="宋体" w:hAnsi="宋体"/>
          <w:color w:val="auto"/>
          <w:szCs w:val="21"/>
          <w:highlight w:val="none"/>
        </w:rPr>
      </w:pPr>
    </w:p>
    <w:p w14:paraId="58965920">
      <w:pPr>
        <w:spacing w:line="480" w:lineRule="auto"/>
        <w:rPr>
          <w:rFonts w:ascii="宋体" w:hAnsi="宋体"/>
          <w:color w:val="auto"/>
          <w:szCs w:val="21"/>
          <w:highlight w:val="none"/>
        </w:rPr>
      </w:pPr>
      <w:r>
        <w:rPr>
          <w:rFonts w:hint="eastAsia" w:ascii="宋体" w:hAnsi="宋体"/>
          <w:color w:val="auto"/>
          <w:szCs w:val="21"/>
          <w:highlight w:val="none"/>
        </w:rPr>
        <w:t>保障农民工工资支付协议附件1：</w:t>
      </w:r>
    </w:p>
    <w:p w14:paraId="4D88C13E">
      <w:pPr>
        <w:widowControl/>
        <w:snapToGrid w:val="0"/>
        <w:spacing w:after="100" w:afterAutospacing="1" w:line="480" w:lineRule="auto"/>
        <w:jc w:val="center"/>
        <w:outlineLvl w:val="0"/>
        <w:rPr>
          <w:rFonts w:ascii="宋体" w:hAnsi="宋体"/>
          <w:color w:val="auto"/>
          <w:szCs w:val="21"/>
          <w:highlight w:val="none"/>
        </w:rPr>
      </w:pPr>
      <w:bookmarkStart w:id="1500" w:name="_Toc19325"/>
      <w:bookmarkStart w:id="1501" w:name="_Toc2539"/>
      <w:bookmarkStart w:id="1502" w:name="_Toc16730"/>
      <w:bookmarkStart w:id="1503" w:name="_Toc1297"/>
      <w:bookmarkStart w:id="1504" w:name="_Toc14958"/>
      <w:r>
        <w:rPr>
          <w:rFonts w:hint="eastAsia" w:ascii="宋体" w:hAnsi="宋体"/>
          <w:color w:val="auto"/>
          <w:szCs w:val="21"/>
          <w:highlight w:val="none"/>
        </w:rPr>
        <w:t>关于农民工工资发放情况的说明表</w:t>
      </w:r>
      <w:bookmarkEnd w:id="1500"/>
      <w:bookmarkEnd w:id="1501"/>
      <w:bookmarkEnd w:id="1502"/>
      <w:bookmarkEnd w:id="1503"/>
      <w:bookmarkEnd w:id="1504"/>
    </w:p>
    <w:tbl>
      <w:tblPr>
        <w:tblStyle w:val="48"/>
        <w:tblW w:w="843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236"/>
        <w:gridCol w:w="6201"/>
      </w:tblGrid>
      <w:tr w14:paraId="50C5B1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7" w:type="dxa"/>
            <w:gridSpan w:val="2"/>
          </w:tcPr>
          <w:p w14:paraId="4E0E4A04">
            <w:pPr>
              <w:widowControl/>
              <w:snapToGrid w:val="0"/>
              <w:spacing w:after="100" w:afterAutospacing="1" w:line="400" w:lineRule="exact"/>
              <w:jc w:val="left"/>
              <w:rPr>
                <w:rFonts w:ascii="宋体" w:hAnsi="宋体"/>
                <w:color w:val="auto"/>
                <w:kern w:val="0"/>
                <w:szCs w:val="21"/>
                <w:highlight w:val="none"/>
              </w:rPr>
            </w:pPr>
            <w:r>
              <w:rPr>
                <w:rFonts w:hint="eastAsia" w:ascii="宋体" w:hAnsi="宋体"/>
                <w:color w:val="auto"/>
                <w:kern w:val="0"/>
                <w:szCs w:val="21"/>
                <w:highlight w:val="none"/>
              </w:rPr>
              <w:t>工程名称：</w:t>
            </w:r>
          </w:p>
        </w:tc>
      </w:tr>
      <w:tr w14:paraId="4887BE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2" w:hRule="atLeast"/>
          <w:jc w:val="center"/>
        </w:trPr>
        <w:tc>
          <w:tcPr>
            <w:tcW w:w="2236" w:type="dxa"/>
          </w:tcPr>
          <w:p w14:paraId="3E78BB15">
            <w:pPr>
              <w:widowControl/>
              <w:snapToGrid w:val="0"/>
              <w:spacing w:after="100" w:afterAutospacing="1" w:line="400" w:lineRule="exact"/>
              <w:rPr>
                <w:rFonts w:ascii="宋体" w:hAnsi="宋体"/>
                <w:color w:val="auto"/>
                <w:kern w:val="0"/>
                <w:szCs w:val="21"/>
                <w:highlight w:val="none"/>
              </w:rPr>
            </w:pPr>
            <w:r>
              <w:rPr>
                <w:rFonts w:hint="eastAsia" w:ascii="宋体" w:hAnsi="宋体"/>
                <w:color w:val="auto"/>
                <w:kern w:val="0"/>
                <w:szCs w:val="21"/>
                <w:highlight w:val="none"/>
              </w:rPr>
              <w:t>施工单位：</w:t>
            </w:r>
          </w:p>
        </w:tc>
        <w:tc>
          <w:tcPr>
            <w:tcW w:w="6201" w:type="dxa"/>
          </w:tcPr>
          <w:p w14:paraId="3657F957">
            <w:pPr>
              <w:widowControl/>
              <w:snapToGrid w:val="0"/>
              <w:spacing w:after="100" w:afterAutospacing="1" w:line="400" w:lineRule="exact"/>
              <w:rPr>
                <w:rFonts w:ascii="宋体" w:hAnsi="宋体"/>
                <w:color w:val="auto"/>
                <w:kern w:val="0"/>
                <w:szCs w:val="21"/>
                <w:highlight w:val="none"/>
              </w:rPr>
            </w:pPr>
          </w:p>
        </w:tc>
      </w:tr>
      <w:tr w14:paraId="2F488E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236" w:type="dxa"/>
          </w:tcPr>
          <w:p w14:paraId="4C58F442">
            <w:pPr>
              <w:widowControl/>
              <w:snapToGrid w:val="0"/>
              <w:spacing w:after="100" w:afterAutospacing="1" w:line="400" w:lineRule="exact"/>
              <w:rPr>
                <w:rFonts w:ascii="宋体" w:hAnsi="宋体"/>
                <w:color w:val="auto"/>
                <w:kern w:val="0"/>
                <w:szCs w:val="21"/>
                <w:highlight w:val="none"/>
              </w:rPr>
            </w:pPr>
            <w:r>
              <w:rPr>
                <w:rFonts w:hint="eastAsia" w:ascii="宋体" w:hAnsi="宋体"/>
                <w:color w:val="auto"/>
                <w:kern w:val="0"/>
                <w:szCs w:val="21"/>
                <w:highlight w:val="none"/>
              </w:rPr>
              <w:t>监理单位：</w:t>
            </w:r>
          </w:p>
        </w:tc>
        <w:tc>
          <w:tcPr>
            <w:tcW w:w="6201" w:type="dxa"/>
          </w:tcPr>
          <w:p w14:paraId="70F4C0CB">
            <w:pPr>
              <w:widowControl/>
              <w:snapToGrid w:val="0"/>
              <w:spacing w:after="100" w:afterAutospacing="1" w:line="400" w:lineRule="exact"/>
              <w:rPr>
                <w:rFonts w:ascii="宋体" w:hAnsi="宋体"/>
                <w:color w:val="auto"/>
                <w:kern w:val="0"/>
                <w:szCs w:val="21"/>
                <w:highlight w:val="none"/>
              </w:rPr>
            </w:pPr>
          </w:p>
        </w:tc>
      </w:tr>
      <w:tr w14:paraId="5015ED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65" w:hRule="atLeast"/>
          <w:jc w:val="center"/>
        </w:trPr>
        <w:tc>
          <w:tcPr>
            <w:tcW w:w="8437" w:type="dxa"/>
            <w:gridSpan w:val="2"/>
          </w:tcPr>
          <w:p w14:paraId="6C11F164">
            <w:pPr>
              <w:widowControl/>
              <w:snapToGrid w:val="0"/>
              <w:spacing w:after="100" w:afterAutospacing="1" w:line="400" w:lineRule="exact"/>
              <w:rPr>
                <w:rFonts w:ascii="宋体" w:hAnsi="宋体"/>
                <w:color w:val="auto"/>
                <w:kern w:val="0"/>
                <w:szCs w:val="21"/>
                <w:highlight w:val="none"/>
                <w:u w:val="single"/>
              </w:rPr>
            </w:pPr>
          </w:p>
          <w:p w14:paraId="5B29F62C">
            <w:pPr>
              <w:widowControl/>
              <w:snapToGrid w:val="0"/>
              <w:spacing w:after="100" w:afterAutospacing="1" w:line="400" w:lineRule="exact"/>
              <w:rPr>
                <w:rFonts w:ascii="宋体" w:hAnsi="宋体"/>
                <w:color w:val="auto"/>
                <w:kern w:val="0"/>
                <w:szCs w:val="21"/>
                <w:highlight w:val="none"/>
              </w:rPr>
            </w:pPr>
            <w:r>
              <w:rPr>
                <w:rFonts w:hint="eastAsia" w:ascii="宋体" w:hAnsi="宋体"/>
                <w:color w:val="auto"/>
                <w:kern w:val="0"/>
                <w:szCs w:val="21"/>
                <w:highlight w:val="none"/>
              </w:rPr>
              <w:t>（比选人单位名称）：</w:t>
            </w:r>
          </w:p>
          <w:p w14:paraId="2A9B9178">
            <w:pPr>
              <w:widowControl/>
              <w:snapToGrid w:val="0"/>
              <w:spacing w:after="100" w:afterAutospacing="1" w:line="400" w:lineRule="exact"/>
              <w:rPr>
                <w:rFonts w:ascii="宋体" w:hAnsi="宋体"/>
                <w:color w:val="auto"/>
                <w:kern w:val="0"/>
                <w:szCs w:val="21"/>
                <w:highlight w:val="none"/>
              </w:rPr>
            </w:pPr>
            <w:r>
              <w:rPr>
                <w:rFonts w:hint="eastAsia" w:ascii="宋体" w:hAnsi="宋体"/>
                <w:color w:val="auto"/>
                <w:kern w:val="0"/>
                <w:szCs w:val="21"/>
                <w:highlight w:val="none"/>
              </w:rPr>
              <w:t xml:space="preserve">    我单位负责承建的（工程名称）无拖欠农民工资的情况，贵单位先期支付我单位的工程款已优先用于支付了农民工工资，农民工工资全部按时足额进行了发放，请贵单位予以审核。</w:t>
            </w:r>
          </w:p>
          <w:p w14:paraId="3C4D6943">
            <w:pPr>
              <w:pStyle w:val="2"/>
              <w:rPr>
                <w:color w:val="auto"/>
                <w:highlight w:val="none"/>
              </w:rPr>
            </w:pPr>
          </w:p>
          <w:p w14:paraId="1FF638D3">
            <w:pPr>
              <w:widowControl/>
              <w:snapToGrid w:val="0"/>
              <w:spacing w:after="100" w:afterAutospacing="1" w:line="400" w:lineRule="exact"/>
              <w:ind w:firstLine="1260" w:firstLineChars="600"/>
              <w:rPr>
                <w:rFonts w:ascii="宋体" w:hAnsi="宋体"/>
                <w:color w:val="auto"/>
                <w:kern w:val="0"/>
                <w:szCs w:val="21"/>
                <w:highlight w:val="none"/>
                <w:u w:val="single"/>
              </w:rPr>
            </w:pPr>
            <w:r>
              <w:rPr>
                <w:rFonts w:hint="eastAsia" w:ascii="宋体" w:hAnsi="宋体"/>
                <w:color w:val="auto"/>
                <w:kern w:val="0"/>
                <w:szCs w:val="21"/>
                <w:highlight w:val="none"/>
              </w:rPr>
              <w:t>施工单位项目负责人签字（加盖项目章）：</w:t>
            </w:r>
            <w:r>
              <w:rPr>
                <w:rFonts w:hint="eastAsia" w:ascii="宋体" w:hAnsi="宋体"/>
                <w:color w:val="auto"/>
                <w:kern w:val="0"/>
                <w:szCs w:val="21"/>
                <w:highlight w:val="none"/>
                <w:u w:val="single"/>
              </w:rPr>
              <w:t xml:space="preserve">        </w:t>
            </w:r>
          </w:p>
        </w:tc>
      </w:tr>
      <w:tr w14:paraId="7548CF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00" w:hRule="atLeast"/>
          <w:jc w:val="center"/>
        </w:trPr>
        <w:tc>
          <w:tcPr>
            <w:tcW w:w="2236" w:type="dxa"/>
            <w:vAlign w:val="center"/>
          </w:tcPr>
          <w:p w14:paraId="7EE22429">
            <w:pPr>
              <w:widowControl/>
              <w:snapToGrid w:val="0"/>
              <w:spacing w:after="100" w:afterAutospacing="1" w:line="400" w:lineRule="exact"/>
              <w:jc w:val="center"/>
              <w:rPr>
                <w:rFonts w:ascii="宋体" w:hAnsi="宋体" w:cs="宋体"/>
                <w:color w:val="auto"/>
                <w:kern w:val="0"/>
                <w:szCs w:val="21"/>
                <w:highlight w:val="none"/>
              </w:rPr>
            </w:pPr>
            <w:r>
              <w:rPr>
                <w:rFonts w:hint="eastAsia" w:ascii="宋体" w:hAnsi="宋体" w:cs="宋体"/>
                <w:color w:val="auto"/>
                <w:kern w:val="0"/>
                <w:szCs w:val="21"/>
                <w:highlight w:val="none"/>
              </w:rPr>
              <w:t>监理单位意见：</w:t>
            </w:r>
          </w:p>
        </w:tc>
        <w:tc>
          <w:tcPr>
            <w:tcW w:w="6201" w:type="dxa"/>
          </w:tcPr>
          <w:p w14:paraId="017E176C">
            <w:pPr>
              <w:widowControl/>
              <w:snapToGrid w:val="0"/>
              <w:spacing w:after="100" w:afterAutospacing="1" w:line="400" w:lineRule="exact"/>
              <w:rPr>
                <w:rFonts w:ascii="宋体" w:hAnsi="宋体"/>
                <w:color w:val="auto"/>
                <w:kern w:val="0"/>
                <w:szCs w:val="21"/>
                <w:highlight w:val="none"/>
                <w:u w:val="single"/>
              </w:rPr>
            </w:pPr>
          </w:p>
          <w:p w14:paraId="297BEB6F">
            <w:pPr>
              <w:widowControl/>
              <w:snapToGrid w:val="0"/>
              <w:spacing w:after="100" w:afterAutospacing="1" w:line="400" w:lineRule="exact"/>
              <w:rPr>
                <w:rFonts w:ascii="宋体" w:hAnsi="宋体"/>
                <w:color w:val="auto"/>
                <w:kern w:val="0"/>
                <w:szCs w:val="21"/>
                <w:highlight w:val="none"/>
                <w:u w:val="single"/>
              </w:rPr>
            </w:pPr>
            <w:r>
              <w:rPr>
                <w:rFonts w:hint="eastAsia" w:ascii="宋体" w:hAnsi="宋体"/>
                <w:color w:val="auto"/>
                <w:kern w:val="0"/>
                <w:szCs w:val="21"/>
                <w:highlight w:val="none"/>
              </w:rPr>
              <w:t xml:space="preserve">             总监签字并加盖项目章：</w:t>
            </w:r>
            <w:r>
              <w:rPr>
                <w:rFonts w:hint="eastAsia" w:ascii="宋体" w:hAnsi="宋体"/>
                <w:color w:val="auto"/>
                <w:kern w:val="0"/>
                <w:szCs w:val="21"/>
                <w:highlight w:val="none"/>
                <w:u w:val="single"/>
              </w:rPr>
              <w:t xml:space="preserve">        </w:t>
            </w:r>
          </w:p>
        </w:tc>
      </w:tr>
      <w:tr w14:paraId="3413AC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50" w:hRule="atLeast"/>
          <w:jc w:val="center"/>
        </w:trPr>
        <w:tc>
          <w:tcPr>
            <w:tcW w:w="2236" w:type="dxa"/>
            <w:vAlign w:val="center"/>
          </w:tcPr>
          <w:p w14:paraId="0119067C">
            <w:pPr>
              <w:widowControl/>
              <w:snapToGrid w:val="0"/>
              <w:spacing w:after="100" w:afterAutospacing="1" w:line="400" w:lineRule="exact"/>
              <w:jc w:val="center"/>
              <w:rPr>
                <w:rFonts w:ascii="宋体" w:hAnsi="宋体"/>
                <w:color w:val="auto"/>
                <w:kern w:val="0"/>
                <w:szCs w:val="21"/>
                <w:highlight w:val="none"/>
              </w:rPr>
            </w:pPr>
            <w:r>
              <w:rPr>
                <w:rFonts w:hint="eastAsia" w:ascii="宋体" w:hAnsi="宋体"/>
                <w:color w:val="auto"/>
                <w:kern w:val="0"/>
                <w:szCs w:val="21"/>
                <w:highlight w:val="none"/>
              </w:rPr>
              <w:t>工程部项目负责人意见：</w:t>
            </w:r>
          </w:p>
        </w:tc>
        <w:tc>
          <w:tcPr>
            <w:tcW w:w="6201" w:type="dxa"/>
          </w:tcPr>
          <w:p w14:paraId="74A23293">
            <w:pPr>
              <w:widowControl/>
              <w:snapToGrid w:val="0"/>
              <w:spacing w:after="100" w:afterAutospacing="1" w:line="400" w:lineRule="exact"/>
              <w:rPr>
                <w:rFonts w:ascii="宋体" w:hAnsi="宋体"/>
                <w:color w:val="auto"/>
                <w:kern w:val="0"/>
                <w:szCs w:val="21"/>
                <w:highlight w:val="none"/>
                <w:u w:val="single"/>
              </w:rPr>
            </w:pPr>
          </w:p>
          <w:p w14:paraId="20DBB6B1">
            <w:pPr>
              <w:widowControl/>
              <w:snapToGrid w:val="0"/>
              <w:spacing w:after="100" w:afterAutospacing="1" w:line="400" w:lineRule="exact"/>
              <w:rPr>
                <w:rFonts w:ascii="宋体" w:hAnsi="宋体"/>
                <w:color w:val="auto"/>
                <w:kern w:val="0"/>
                <w:szCs w:val="21"/>
                <w:highlight w:val="none"/>
                <w:u w:val="single"/>
              </w:rPr>
            </w:pPr>
            <w:r>
              <w:rPr>
                <w:rFonts w:hint="eastAsia" w:ascii="宋体" w:hAnsi="宋体"/>
                <w:color w:val="auto"/>
                <w:kern w:val="0"/>
                <w:szCs w:val="21"/>
                <w:highlight w:val="none"/>
              </w:rPr>
              <w:t xml:space="preserve">                   项目负责人签字：</w:t>
            </w:r>
            <w:r>
              <w:rPr>
                <w:rFonts w:hint="eastAsia" w:ascii="宋体" w:hAnsi="宋体"/>
                <w:color w:val="auto"/>
                <w:kern w:val="0"/>
                <w:szCs w:val="21"/>
                <w:highlight w:val="none"/>
                <w:u w:val="single"/>
              </w:rPr>
              <w:t xml:space="preserve">        </w:t>
            </w:r>
          </w:p>
        </w:tc>
      </w:tr>
    </w:tbl>
    <w:p w14:paraId="2976BC8F">
      <w:pPr>
        <w:pStyle w:val="2"/>
        <w:rPr>
          <w:rFonts w:ascii="宋体" w:hAnsi="宋体"/>
          <w:color w:val="auto"/>
          <w:sz w:val="24"/>
          <w:highlight w:val="none"/>
        </w:rPr>
      </w:pPr>
    </w:p>
    <w:p w14:paraId="187FA2E3">
      <w:pPr>
        <w:pStyle w:val="2"/>
        <w:rPr>
          <w:rFonts w:ascii="宋体" w:hAnsi="宋体"/>
          <w:color w:val="auto"/>
          <w:sz w:val="24"/>
          <w:highlight w:val="none"/>
        </w:rPr>
      </w:pPr>
    </w:p>
    <w:p w14:paraId="7195AA83">
      <w:pPr>
        <w:pStyle w:val="2"/>
        <w:rPr>
          <w:rFonts w:ascii="宋体" w:hAnsi="宋体"/>
          <w:color w:val="auto"/>
          <w:sz w:val="24"/>
          <w:highlight w:val="none"/>
        </w:rPr>
      </w:pPr>
    </w:p>
    <w:p w14:paraId="26850FD3">
      <w:pPr>
        <w:pStyle w:val="2"/>
        <w:rPr>
          <w:rFonts w:ascii="宋体" w:hAnsi="宋体"/>
          <w:color w:val="auto"/>
          <w:sz w:val="24"/>
          <w:highlight w:val="none"/>
        </w:rPr>
      </w:pPr>
    </w:p>
    <w:p w14:paraId="3962CACE">
      <w:pPr>
        <w:pStyle w:val="2"/>
        <w:rPr>
          <w:rFonts w:ascii="宋体" w:hAnsi="宋体"/>
          <w:color w:val="auto"/>
          <w:sz w:val="24"/>
          <w:highlight w:val="none"/>
        </w:rPr>
      </w:pPr>
    </w:p>
    <w:p w14:paraId="7B0E8EEA">
      <w:pPr>
        <w:rPr>
          <w:rFonts w:ascii="宋体" w:hAnsi="宋体"/>
          <w:color w:val="auto"/>
          <w:sz w:val="24"/>
          <w:highlight w:val="none"/>
        </w:rPr>
      </w:pPr>
      <w:r>
        <w:rPr>
          <w:rFonts w:ascii="宋体" w:hAnsi="宋体"/>
          <w:color w:val="auto"/>
          <w:sz w:val="24"/>
          <w:highlight w:val="none"/>
        </w:rPr>
        <w:br w:type="page"/>
      </w:r>
    </w:p>
    <w:p w14:paraId="76DA490D">
      <w:pPr>
        <w:keepNext/>
        <w:keepLines/>
        <w:widowControl/>
        <w:wordWrap w:val="0"/>
        <w:topLinePunct/>
        <w:adjustRightInd w:val="0"/>
        <w:snapToGrid w:val="0"/>
        <w:spacing w:after="156" w:afterLines="50" w:line="360" w:lineRule="auto"/>
        <w:jc w:val="left"/>
        <w:outlineLvl w:val="1"/>
        <w:rPr>
          <w:rFonts w:ascii="宋体" w:hAnsi="宋体" w:cs="宋体"/>
          <w:b/>
          <w:color w:val="auto"/>
          <w:kern w:val="0"/>
          <w:szCs w:val="21"/>
          <w:highlight w:val="none"/>
          <w:lang w:bidi="ar"/>
        </w:rPr>
      </w:pPr>
      <w:bookmarkStart w:id="1505" w:name="_Toc3695"/>
      <w:bookmarkStart w:id="1506" w:name="_Toc26292"/>
      <w:bookmarkStart w:id="1507" w:name="_Toc915"/>
      <w:r>
        <w:rPr>
          <w:rFonts w:hint="eastAsia" w:ascii="宋体" w:hAnsi="宋体" w:cs="宋体"/>
          <w:b/>
          <w:color w:val="auto"/>
          <w:kern w:val="0"/>
          <w:szCs w:val="21"/>
          <w:highlight w:val="none"/>
          <w:lang w:bidi="ar"/>
        </w:rPr>
        <w:t>附件</w:t>
      </w:r>
      <w:r>
        <w:rPr>
          <w:rFonts w:hint="eastAsia" w:ascii="宋体" w:hAnsi="宋体" w:cs="宋体"/>
          <w:b/>
          <w:color w:val="auto"/>
          <w:kern w:val="0"/>
          <w:szCs w:val="21"/>
          <w:highlight w:val="none"/>
          <w:lang w:val="en-US" w:eastAsia="zh-CN" w:bidi="ar"/>
        </w:rPr>
        <w:t>6</w:t>
      </w:r>
      <w:r>
        <w:rPr>
          <w:rFonts w:hint="eastAsia" w:ascii="宋体" w:hAnsi="宋体" w:cs="宋体"/>
          <w:b/>
          <w:color w:val="auto"/>
          <w:kern w:val="0"/>
          <w:szCs w:val="21"/>
          <w:highlight w:val="none"/>
          <w:lang w:bidi="ar"/>
        </w:rPr>
        <w:t xml:space="preserve"> </w:t>
      </w:r>
      <w:r>
        <w:rPr>
          <w:rFonts w:hint="eastAsia" w:ascii="宋体" w:hAnsi="宋体" w:cs="宋体"/>
          <w:b/>
          <w:color w:val="auto"/>
          <w:kern w:val="0"/>
          <w:szCs w:val="21"/>
          <w:highlight w:val="none"/>
          <w:lang w:eastAsia="zh-CN" w:bidi="ar"/>
        </w:rPr>
        <w:t>履约担保</w:t>
      </w:r>
      <w:r>
        <w:rPr>
          <w:rFonts w:hint="eastAsia" w:ascii="宋体" w:hAnsi="宋体" w:cs="宋体"/>
          <w:b/>
          <w:color w:val="auto"/>
          <w:kern w:val="0"/>
          <w:szCs w:val="21"/>
          <w:highlight w:val="none"/>
          <w:lang w:bidi="ar"/>
        </w:rPr>
        <w:t>（如有）</w:t>
      </w:r>
      <w:bookmarkEnd w:id="1505"/>
      <w:bookmarkEnd w:id="1506"/>
      <w:bookmarkEnd w:id="1507"/>
    </w:p>
    <w:p w14:paraId="12AC51CF">
      <w:pPr>
        <w:keepNext w:val="0"/>
        <w:keepLines w:val="0"/>
        <w:pageBreakBefore w:val="0"/>
        <w:kinsoku/>
        <w:overflowPunct/>
        <w:topLinePunct w:val="0"/>
        <w:autoSpaceDE/>
        <w:autoSpaceDN/>
        <w:bidi w:val="0"/>
        <w:adjustRightInd/>
        <w:snapToGrid/>
        <w:spacing w:line="360" w:lineRule="auto"/>
        <w:ind w:right="0" w:rightChars="0"/>
        <w:jc w:val="center"/>
        <w:textAlignment w:val="auto"/>
        <w:outlineLvl w:val="9"/>
        <w:rPr>
          <w:rFonts w:hint="eastAsia" w:ascii="宋体" w:hAnsi="宋体" w:eastAsia="宋体" w:cs="宋体"/>
          <w:b w:val="0"/>
          <w:bCs w:val="0"/>
          <w:color w:val="auto"/>
          <w:sz w:val="21"/>
          <w:szCs w:val="21"/>
          <w:highlight w:val="none"/>
        </w:rPr>
      </w:pPr>
      <w:r>
        <w:rPr>
          <w:rFonts w:hint="eastAsia" w:ascii="宋体" w:hAnsi="宋体" w:eastAsia="宋体" w:cs="宋体"/>
          <w:b w:val="0"/>
          <w:bCs w:val="0"/>
          <w:color w:val="auto"/>
          <w:sz w:val="21"/>
          <w:szCs w:val="21"/>
          <w:highlight w:val="none"/>
        </w:rPr>
        <w:t>履约保函示范文本</w:t>
      </w:r>
    </w:p>
    <w:p w14:paraId="13300567">
      <w:pPr>
        <w:keepNext w:val="0"/>
        <w:keepLines w:val="0"/>
        <w:pageBreakBefore w:val="0"/>
        <w:kinsoku/>
        <w:overflowPunct/>
        <w:topLinePunct w:val="0"/>
        <w:autoSpaceDE/>
        <w:autoSpaceDN/>
        <w:bidi w:val="0"/>
        <w:adjustRightInd/>
        <w:snapToGrid/>
        <w:spacing w:line="360" w:lineRule="auto"/>
        <w:ind w:right="0" w:rightChars="0"/>
        <w:textAlignment w:val="auto"/>
        <w:outlineLvl w:val="9"/>
        <w:rPr>
          <w:rFonts w:hint="eastAsia" w:ascii="宋体" w:hAnsi="宋体" w:eastAsia="宋体" w:cs="宋体"/>
          <w:color w:val="auto"/>
          <w:sz w:val="21"/>
          <w:szCs w:val="21"/>
          <w:highlight w:val="none"/>
        </w:rPr>
      </w:pPr>
    </w:p>
    <w:p w14:paraId="396A8703">
      <w:pPr>
        <w:keepNext w:val="0"/>
        <w:keepLines w:val="0"/>
        <w:pageBreakBefore w:val="0"/>
        <w:shd w:val="clear"/>
        <w:kinsoku/>
        <w:wordWrap/>
        <w:overflowPunct/>
        <w:topLinePunct w:val="0"/>
        <w:autoSpaceDE/>
        <w:autoSpaceDN/>
        <w:bidi w:val="0"/>
        <w:adjustRightInd/>
        <w:snapToGrid/>
        <w:spacing w:beforeLines="0" w:line="360" w:lineRule="auto"/>
        <w:ind w:right="0" w:rightChars="0" w:firstLine="420" w:firstLineChars="200"/>
        <w:textAlignment w:val="auto"/>
        <w:outlineLvl w:val="9"/>
        <w:rPr>
          <w:rFonts w:hint="eastAsia" w:ascii="宋体" w:hAnsi="宋体" w:eastAsia="宋体" w:cs="宋体"/>
          <w:color w:val="auto"/>
          <w:kern w:val="2"/>
          <w:sz w:val="21"/>
          <w:szCs w:val="21"/>
          <w:highlight w:val="none"/>
        </w:rPr>
      </w:pPr>
      <w:r>
        <w:rPr>
          <w:rFonts w:hint="eastAsia" w:ascii="宋体" w:hAnsi="宋体" w:eastAsia="宋体" w:cs="宋体"/>
          <w:color w:val="auto"/>
          <w:kern w:val="2"/>
          <w:sz w:val="21"/>
          <w:szCs w:val="21"/>
          <w:highlight w:val="none"/>
        </w:rPr>
        <w:t>申请人：</w:t>
      </w:r>
    </w:p>
    <w:p w14:paraId="5B48E32B">
      <w:pPr>
        <w:keepNext w:val="0"/>
        <w:keepLines w:val="0"/>
        <w:pageBreakBefore w:val="0"/>
        <w:shd w:val="clear"/>
        <w:kinsoku/>
        <w:wordWrap/>
        <w:overflowPunct/>
        <w:topLinePunct w:val="0"/>
        <w:autoSpaceDE/>
        <w:autoSpaceDN/>
        <w:bidi w:val="0"/>
        <w:adjustRightInd/>
        <w:snapToGrid/>
        <w:spacing w:beforeLines="0" w:line="360" w:lineRule="auto"/>
        <w:ind w:right="0" w:rightChars="0" w:firstLine="420" w:firstLineChars="200"/>
        <w:textAlignment w:val="auto"/>
        <w:outlineLvl w:val="9"/>
        <w:rPr>
          <w:rFonts w:hint="eastAsia" w:ascii="宋体" w:hAnsi="宋体" w:eastAsia="宋体" w:cs="宋体"/>
          <w:color w:val="auto"/>
          <w:kern w:val="2"/>
          <w:sz w:val="21"/>
          <w:szCs w:val="21"/>
          <w:highlight w:val="none"/>
        </w:rPr>
      </w:pPr>
      <w:r>
        <w:rPr>
          <w:rFonts w:hint="eastAsia" w:ascii="宋体" w:hAnsi="宋体" w:eastAsia="宋体" w:cs="宋体"/>
          <w:color w:val="auto"/>
          <w:kern w:val="2"/>
          <w:sz w:val="21"/>
          <w:szCs w:val="21"/>
          <w:highlight w:val="none"/>
        </w:rPr>
        <w:t>地</w:t>
      </w:r>
      <w:r>
        <w:rPr>
          <w:rFonts w:hint="eastAsia" w:ascii="宋体" w:hAnsi="宋体" w:eastAsia="宋体" w:cs="宋体"/>
          <w:color w:val="auto"/>
          <w:kern w:val="2"/>
          <w:sz w:val="21"/>
          <w:szCs w:val="21"/>
          <w:highlight w:val="none"/>
          <w:lang w:val="en-US" w:eastAsia="zh-CN"/>
        </w:rPr>
        <w:t xml:space="preserve">  </w:t>
      </w:r>
      <w:r>
        <w:rPr>
          <w:rFonts w:hint="eastAsia" w:ascii="宋体" w:hAnsi="宋体" w:eastAsia="宋体" w:cs="宋体"/>
          <w:color w:val="auto"/>
          <w:kern w:val="2"/>
          <w:sz w:val="21"/>
          <w:szCs w:val="21"/>
          <w:highlight w:val="none"/>
        </w:rPr>
        <w:t>址：</w:t>
      </w:r>
    </w:p>
    <w:p w14:paraId="14CB77B4">
      <w:pPr>
        <w:keepNext w:val="0"/>
        <w:keepLines w:val="0"/>
        <w:pageBreakBefore w:val="0"/>
        <w:shd w:val="clear"/>
        <w:kinsoku/>
        <w:wordWrap/>
        <w:overflowPunct/>
        <w:topLinePunct w:val="0"/>
        <w:autoSpaceDE/>
        <w:autoSpaceDN/>
        <w:bidi w:val="0"/>
        <w:adjustRightInd/>
        <w:snapToGrid/>
        <w:spacing w:beforeLines="0" w:line="360" w:lineRule="auto"/>
        <w:ind w:right="0" w:rightChars="0" w:firstLine="420" w:firstLineChars="200"/>
        <w:textAlignment w:val="auto"/>
        <w:outlineLvl w:val="9"/>
        <w:rPr>
          <w:rFonts w:hint="eastAsia" w:ascii="宋体" w:hAnsi="宋体" w:eastAsia="宋体" w:cs="宋体"/>
          <w:color w:val="auto"/>
          <w:kern w:val="2"/>
          <w:sz w:val="21"/>
          <w:szCs w:val="21"/>
          <w:highlight w:val="none"/>
        </w:rPr>
      </w:pPr>
      <w:r>
        <w:rPr>
          <w:rFonts w:hint="eastAsia" w:ascii="宋体" w:hAnsi="宋体" w:eastAsia="宋体" w:cs="宋体"/>
          <w:color w:val="auto"/>
          <w:kern w:val="2"/>
          <w:sz w:val="21"/>
          <w:szCs w:val="21"/>
          <w:highlight w:val="none"/>
        </w:rPr>
        <w:t>受益人：</w:t>
      </w:r>
    </w:p>
    <w:p w14:paraId="28BE3621">
      <w:pPr>
        <w:keepNext w:val="0"/>
        <w:keepLines w:val="0"/>
        <w:pageBreakBefore w:val="0"/>
        <w:shd w:val="clear"/>
        <w:kinsoku/>
        <w:wordWrap/>
        <w:overflowPunct/>
        <w:topLinePunct w:val="0"/>
        <w:autoSpaceDE/>
        <w:autoSpaceDN/>
        <w:bidi w:val="0"/>
        <w:adjustRightInd/>
        <w:snapToGrid/>
        <w:spacing w:beforeLines="0" w:line="360" w:lineRule="auto"/>
        <w:ind w:right="0" w:rightChars="0" w:firstLine="420" w:firstLineChars="200"/>
        <w:textAlignment w:val="auto"/>
        <w:outlineLvl w:val="9"/>
        <w:rPr>
          <w:rFonts w:hint="eastAsia" w:ascii="宋体" w:hAnsi="宋体" w:eastAsia="宋体" w:cs="宋体"/>
          <w:color w:val="auto"/>
          <w:kern w:val="2"/>
          <w:sz w:val="21"/>
          <w:szCs w:val="21"/>
          <w:highlight w:val="none"/>
        </w:rPr>
      </w:pPr>
      <w:r>
        <w:rPr>
          <w:rFonts w:hint="eastAsia" w:ascii="宋体" w:hAnsi="宋体" w:eastAsia="宋体" w:cs="宋体"/>
          <w:color w:val="auto"/>
          <w:kern w:val="2"/>
          <w:sz w:val="21"/>
          <w:szCs w:val="21"/>
          <w:highlight w:val="none"/>
        </w:rPr>
        <w:t>地</w:t>
      </w:r>
      <w:r>
        <w:rPr>
          <w:rFonts w:hint="eastAsia" w:ascii="宋体" w:hAnsi="宋体" w:eastAsia="宋体" w:cs="宋体"/>
          <w:color w:val="auto"/>
          <w:kern w:val="2"/>
          <w:sz w:val="21"/>
          <w:szCs w:val="21"/>
          <w:highlight w:val="none"/>
          <w:lang w:val="en-US" w:eastAsia="zh-CN"/>
        </w:rPr>
        <w:t xml:space="preserve">  </w:t>
      </w:r>
      <w:r>
        <w:rPr>
          <w:rFonts w:hint="eastAsia" w:ascii="宋体" w:hAnsi="宋体" w:eastAsia="宋体" w:cs="宋体"/>
          <w:color w:val="auto"/>
          <w:kern w:val="2"/>
          <w:sz w:val="21"/>
          <w:szCs w:val="21"/>
          <w:highlight w:val="none"/>
        </w:rPr>
        <w:t>址：</w:t>
      </w:r>
    </w:p>
    <w:p w14:paraId="036A0782">
      <w:pPr>
        <w:keepNext w:val="0"/>
        <w:keepLines w:val="0"/>
        <w:pageBreakBefore w:val="0"/>
        <w:shd w:val="clear"/>
        <w:kinsoku/>
        <w:wordWrap/>
        <w:overflowPunct/>
        <w:topLinePunct w:val="0"/>
        <w:autoSpaceDE/>
        <w:autoSpaceDN/>
        <w:bidi w:val="0"/>
        <w:adjustRightInd/>
        <w:snapToGrid/>
        <w:spacing w:beforeLines="0" w:line="360" w:lineRule="auto"/>
        <w:ind w:right="0" w:rightChars="0" w:firstLine="420" w:firstLineChars="200"/>
        <w:textAlignment w:val="auto"/>
        <w:outlineLvl w:val="9"/>
        <w:rPr>
          <w:rFonts w:hint="eastAsia" w:ascii="宋体" w:hAnsi="宋体" w:eastAsia="宋体" w:cs="宋体"/>
          <w:color w:val="auto"/>
          <w:kern w:val="2"/>
          <w:sz w:val="21"/>
          <w:szCs w:val="21"/>
          <w:highlight w:val="none"/>
        </w:rPr>
      </w:pPr>
      <w:r>
        <w:rPr>
          <w:rFonts w:hint="eastAsia" w:ascii="宋体" w:hAnsi="宋体" w:eastAsia="宋体" w:cs="宋体"/>
          <w:color w:val="auto"/>
          <w:kern w:val="2"/>
          <w:sz w:val="21"/>
          <w:szCs w:val="21"/>
          <w:highlight w:val="none"/>
        </w:rPr>
        <w:t>开立人：</w:t>
      </w:r>
    </w:p>
    <w:p w14:paraId="6CDBD425">
      <w:pPr>
        <w:keepNext w:val="0"/>
        <w:keepLines w:val="0"/>
        <w:pageBreakBefore w:val="0"/>
        <w:shd w:val="clear"/>
        <w:kinsoku/>
        <w:wordWrap/>
        <w:overflowPunct/>
        <w:topLinePunct w:val="0"/>
        <w:autoSpaceDE/>
        <w:autoSpaceDN/>
        <w:bidi w:val="0"/>
        <w:adjustRightInd/>
        <w:snapToGrid/>
        <w:spacing w:beforeLines="0" w:line="360" w:lineRule="auto"/>
        <w:ind w:right="0" w:rightChars="0" w:firstLine="420" w:firstLineChars="200"/>
        <w:textAlignment w:val="auto"/>
        <w:outlineLvl w:val="9"/>
        <w:rPr>
          <w:rFonts w:hint="eastAsia" w:ascii="宋体" w:hAnsi="宋体" w:eastAsia="宋体" w:cs="宋体"/>
          <w:color w:val="auto"/>
          <w:kern w:val="2"/>
          <w:sz w:val="21"/>
          <w:szCs w:val="21"/>
          <w:highlight w:val="none"/>
        </w:rPr>
      </w:pPr>
      <w:r>
        <w:rPr>
          <w:rFonts w:hint="eastAsia" w:ascii="宋体" w:hAnsi="宋体" w:eastAsia="宋体" w:cs="宋体"/>
          <w:color w:val="auto"/>
          <w:kern w:val="2"/>
          <w:sz w:val="21"/>
          <w:szCs w:val="21"/>
          <w:highlight w:val="none"/>
        </w:rPr>
        <w:t>地</w:t>
      </w:r>
      <w:r>
        <w:rPr>
          <w:rFonts w:hint="eastAsia" w:ascii="宋体" w:hAnsi="宋体" w:eastAsia="宋体" w:cs="宋体"/>
          <w:color w:val="auto"/>
          <w:kern w:val="2"/>
          <w:sz w:val="21"/>
          <w:szCs w:val="21"/>
          <w:highlight w:val="none"/>
          <w:lang w:val="en-US" w:eastAsia="zh-CN"/>
        </w:rPr>
        <w:t xml:space="preserve">  </w:t>
      </w:r>
      <w:r>
        <w:rPr>
          <w:rFonts w:hint="eastAsia" w:ascii="宋体" w:hAnsi="宋体" w:eastAsia="宋体" w:cs="宋体"/>
          <w:color w:val="auto"/>
          <w:kern w:val="2"/>
          <w:sz w:val="21"/>
          <w:szCs w:val="21"/>
          <w:highlight w:val="none"/>
        </w:rPr>
        <w:t>址：</w:t>
      </w:r>
    </w:p>
    <w:p w14:paraId="31FF19DC">
      <w:pPr>
        <w:keepNext w:val="0"/>
        <w:keepLines w:val="0"/>
        <w:pageBreakBefore w:val="0"/>
        <w:shd w:val="clear"/>
        <w:kinsoku/>
        <w:wordWrap/>
        <w:overflowPunct/>
        <w:topLinePunct w:val="0"/>
        <w:autoSpaceDE/>
        <w:autoSpaceDN/>
        <w:bidi w:val="0"/>
        <w:adjustRightInd/>
        <w:snapToGrid/>
        <w:spacing w:beforeLines="0" w:line="360" w:lineRule="auto"/>
        <w:ind w:right="0" w:rightChars="0"/>
        <w:textAlignment w:val="auto"/>
        <w:outlineLvl w:val="9"/>
        <w:rPr>
          <w:rFonts w:hint="eastAsia" w:ascii="宋体" w:hAnsi="宋体" w:eastAsia="宋体" w:cs="宋体"/>
          <w:color w:val="auto"/>
          <w:kern w:val="2"/>
          <w:sz w:val="21"/>
          <w:szCs w:val="21"/>
          <w:highlight w:val="none"/>
        </w:rPr>
      </w:pPr>
    </w:p>
    <w:p w14:paraId="4F6336A1">
      <w:pPr>
        <w:keepNext w:val="0"/>
        <w:keepLines w:val="0"/>
        <w:pageBreakBefore w:val="0"/>
        <w:shd w:val="clear"/>
        <w:kinsoku/>
        <w:wordWrap/>
        <w:overflowPunct/>
        <w:topLinePunct w:val="0"/>
        <w:autoSpaceDE/>
        <w:autoSpaceDN/>
        <w:bidi w:val="0"/>
        <w:adjustRightInd/>
        <w:snapToGrid/>
        <w:spacing w:beforeLines="0" w:line="360" w:lineRule="auto"/>
        <w:ind w:right="0" w:rightChars="0"/>
        <w:textAlignment w:val="auto"/>
        <w:outlineLvl w:val="9"/>
        <w:rPr>
          <w:rFonts w:hint="eastAsia" w:ascii="宋体" w:hAnsi="宋体" w:eastAsia="宋体" w:cs="宋体"/>
          <w:color w:val="auto"/>
          <w:kern w:val="2"/>
          <w:sz w:val="21"/>
          <w:szCs w:val="21"/>
          <w:highlight w:val="none"/>
        </w:rPr>
      </w:pPr>
      <w:r>
        <w:rPr>
          <w:rFonts w:hint="eastAsia" w:ascii="宋体" w:hAnsi="宋体" w:eastAsia="宋体" w:cs="宋体"/>
          <w:color w:val="auto"/>
          <w:kern w:val="2"/>
          <w:sz w:val="21"/>
          <w:szCs w:val="21"/>
          <w:highlight w:val="none"/>
          <w:u w:val="single"/>
        </w:rPr>
        <w:t xml:space="preserve">        </w:t>
      </w:r>
      <w:r>
        <w:rPr>
          <w:rFonts w:hint="eastAsia" w:ascii="宋体" w:hAnsi="宋体" w:eastAsia="宋体" w:cs="宋体"/>
          <w:color w:val="auto"/>
          <w:kern w:val="2"/>
          <w:sz w:val="21"/>
          <w:szCs w:val="21"/>
          <w:highlight w:val="none"/>
          <w:u w:val="single"/>
          <w:lang w:val="en-US" w:eastAsia="zh-CN"/>
        </w:rPr>
        <w:t xml:space="preserve">  </w:t>
      </w:r>
      <w:r>
        <w:rPr>
          <w:rFonts w:hint="eastAsia" w:ascii="宋体" w:hAnsi="宋体" w:eastAsia="宋体" w:cs="宋体"/>
          <w:color w:val="auto"/>
          <w:kern w:val="2"/>
          <w:sz w:val="21"/>
          <w:szCs w:val="21"/>
          <w:highlight w:val="none"/>
          <w:u w:val="single"/>
        </w:rPr>
        <w:t xml:space="preserve">      </w:t>
      </w:r>
      <w:r>
        <w:rPr>
          <w:rFonts w:hint="eastAsia" w:ascii="宋体" w:hAnsi="宋体" w:eastAsia="宋体" w:cs="宋体"/>
          <w:color w:val="auto"/>
          <w:kern w:val="2"/>
          <w:sz w:val="21"/>
          <w:szCs w:val="21"/>
          <w:highlight w:val="none"/>
        </w:rPr>
        <w:t>（受益人名称）：</w:t>
      </w:r>
    </w:p>
    <w:p w14:paraId="4C95A472">
      <w:pPr>
        <w:keepNext w:val="0"/>
        <w:keepLines w:val="0"/>
        <w:pageBreakBefore w:val="0"/>
        <w:shd w:val="clear"/>
        <w:kinsoku/>
        <w:wordWrap/>
        <w:overflowPunct/>
        <w:topLinePunct w:val="0"/>
        <w:autoSpaceDE/>
        <w:autoSpaceDN/>
        <w:bidi w:val="0"/>
        <w:adjustRightInd/>
        <w:snapToGrid/>
        <w:spacing w:beforeLines="0" w:line="360" w:lineRule="auto"/>
        <w:ind w:right="0" w:rightChars="0" w:firstLine="420" w:firstLineChars="200"/>
        <w:textAlignment w:val="auto"/>
        <w:outlineLvl w:val="9"/>
        <w:rPr>
          <w:rFonts w:hint="eastAsia" w:ascii="宋体" w:hAnsi="宋体" w:eastAsia="宋体" w:cs="宋体"/>
          <w:color w:val="auto"/>
          <w:kern w:val="2"/>
          <w:sz w:val="21"/>
          <w:szCs w:val="21"/>
          <w:highlight w:val="none"/>
        </w:rPr>
      </w:pPr>
      <w:r>
        <w:rPr>
          <w:rFonts w:hint="eastAsia" w:ascii="宋体" w:hAnsi="宋体" w:eastAsia="宋体" w:cs="宋体"/>
          <w:color w:val="auto"/>
          <w:kern w:val="2"/>
          <w:sz w:val="21"/>
          <w:szCs w:val="21"/>
          <w:highlight w:val="none"/>
        </w:rPr>
        <w:t>鉴于</w:t>
      </w:r>
      <w:r>
        <w:rPr>
          <w:rFonts w:hint="eastAsia" w:ascii="宋体" w:hAnsi="宋体" w:eastAsia="宋体" w:cs="宋体"/>
          <w:color w:val="auto"/>
          <w:kern w:val="2"/>
          <w:sz w:val="21"/>
          <w:szCs w:val="21"/>
          <w:highlight w:val="none"/>
          <w:u w:val="single"/>
        </w:rPr>
        <w:t xml:space="preserve">           </w:t>
      </w:r>
      <w:r>
        <w:rPr>
          <w:rFonts w:hint="eastAsia" w:ascii="宋体" w:hAnsi="宋体" w:eastAsia="宋体" w:cs="宋体"/>
          <w:color w:val="auto"/>
          <w:kern w:val="2"/>
          <w:sz w:val="21"/>
          <w:szCs w:val="21"/>
          <w:highlight w:val="none"/>
        </w:rPr>
        <w:t xml:space="preserve"> </w:t>
      </w:r>
      <w:r>
        <w:rPr>
          <w:rFonts w:hint="eastAsia" w:ascii="宋体" w:hAnsi="宋体" w:eastAsia="宋体" w:cs="宋体"/>
          <w:color w:val="auto"/>
          <w:kern w:val="2"/>
          <w:sz w:val="21"/>
          <w:szCs w:val="21"/>
          <w:highlight w:val="none"/>
          <w:lang w:eastAsia="zh-CN"/>
        </w:rPr>
        <w:t>（</w:t>
      </w:r>
      <w:r>
        <w:rPr>
          <w:rFonts w:hint="eastAsia" w:ascii="宋体" w:hAnsi="宋体" w:eastAsia="宋体" w:cs="宋体"/>
          <w:color w:val="auto"/>
          <w:kern w:val="2"/>
          <w:sz w:val="21"/>
          <w:szCs w:val="21"/>
          <w:highlight w:val="none"/>
        </w:rPr>
        <w:t>以下简称“受益人”）与</w:t>
      </w:r>
      <w:r>
        <w:rPr>
          <w:rFonts w:hint="eastAsia" w:ascii="宋体" w:hAnsi="宋体" w:eastAsia="宋体" w:cs="宋体"/>
          <w:color w:val="auto"/>
          <w:kern w:val="2"/>
          <w:sz w:val="21"/>
          <w:szCs w:val="21"/>
          <w:highlight w:val="none"/>
          <w:u w:val="single"/>
        </w:rPr>
        <w:t xml:space="preserve">            </w:t>
      </w:r>
      <w:r>
        <w:rPr>
          <w:rFonts w:hint="eastAsia" w:ascii="宋体" w:hAnsi="宋体" w:eastAsia="宋体" w:cs="宋体"/>
          <w:color w:val="auto"/>
          <w:kern w:val="2"/>
          <w:sz w:val="21"/>
          <w:szCs w:val="21"/>
          <w:highlight w:val="none"/>
        </w:rPr>
        <w:t>（以下简称“申请人”）就工程</w:t>
      </w:r>
      <w:r>
        <w:rPr>
          <w:rFonts w:hint="eastAsia" w:ascii="宋体" w:hAnsi="宋体" w:eastAsia="宋体" w:cs="宋体"/>
          <w:color w:val="auto"/>
          <w:kern w:val="2"/>
          <w:sz w:val="21"/>
          <w:szCs w:val="21"/>
          <w:highlight w:val="none"/>
          <w:u w:val="single"/>
        </w:rPr>
        <w:t xml:space="preserve">          </w:t>
      </w:r>
      <w:r>
        <w:rPr>
          <w:rFonts w:hint="eastAsia" w:ascii="宋体" w:hAnsi="宋体" w:eastAsia="宋体" w:cs="宋体"/>
          <w:color w:val="auto"/>
          <w:kern w:val="2"/>
          <w:sz w:val="21"/>
          <w:szCs w:val="21"/>
          <w:highlight w:val="none"/>
        </w:rPr>
        <w:t>（以下简称“本工程”）施工和有关事项协商一致，根据本工程中标通知书、招标文件和投标文件，了解到申请人为本工程项下之承包人、受益人为本工程项下之发包人，基于申请人的请求，我方（即“开立人”）同意就申请人履行本工程依据中标通知书、招标文件和投标文件签订的</w:t>
      </w:r>
      <w:r>
        <w:rPr>
          <w:rFonts w:hint="eastAsia" w:ascii="宋体" w:hAnsi="宋体" w:eastAsia="宋体" w:cs="宋体"/>
          <w:color w:val="auto"/>
          <w:kern w:val="2"/>
          <w:sz w:val="21"/>
          <w:szCs w:val="21"/>
          <w:highlight w:val="none"/>
          <w:u w:val="single"/>
        </w:rPr>
        <w:t>《        》</w:t>
      </w:r>
      <w:r>
        <w:rPr>
          <w:rFonts w:hint="eastAsia" w:ascii="宋体" w:hAnsi="宋体" w:eastAsia="宋体" w:cs="宋体"/>
          <w:color w:val="auto"/>
          <w:kern w:val="2"/>
          <w:sz w:val="21"/>
          <w:szCs w:val="21"/>
          <w:highlight w:val="none"/>
        </w:rPr>
        <w:t>（以下简称“基础合同”）约定的义务，向贵方提供不可撤销、不可转让的见索即付保函（以下简称“本保函”）。</w:t>
      </w:r>
    </w:p>
    <w:p w14:paraId="7B983324">
      <w:pPr>
        <w:keepNext w:val="0"/>
        <w:keepLines w:val="0"/>
        <w:pageBreakBefore w:val="0"/>
        <w:shd w:val="clear"/>
        <w:kinsoku/>
        <w:wordWrap/>
        <w:overflowPunct/>
        <w:topLinePunct w:val="0"/>
        <w:autoSpaceDE/>
        <w:autoSpaceDN/>
        <w:bidi w:val="0"/>
        <w:adjustRightInd/>
        <w:snapToGrid/>
        <w:spacing w:beforeLines="0" w:line="360" w:lineRule="auto"/>
        <w:ind w:right="0" w:rightChars="0" w:firstLine="420" w:firstLineChars="200"/>
        <w:textAlignment w:val="auto"/>
        <w:outlineLvl w:val="9"/>
        <w:rPr>
          <w:rFonts w:hint="eastAsia" w:ascii="宋体" w:hAnsi="宋体" w:eastAsia="宋体" w:cs="宋体"/>
          <w:color w:val="auto"/>
          <w:kern w:val="2"/>
          <w:sz w:val="21"/>
          <w:szCs w:val="21"/>
          <w:highlight w:val="none"/>
        </w:rPr>
      </w:pPr>
      <w:r>
        <w:rPr>
          <w:rFonts w:hint="eastAsia" w:ascii="宋体" w:hAnsi="宋体" w:eastAsia="宋体" w:cs="宋体"/>
          <w:color w:val="auto"/>
          <w:kern w:val="2"/>
          <w:sz w:val="21"/>
          <w:szCs w:val="21"/>
          <w:highlight w:val="none"/>
        </w:rPr>
        <w:t>一、本保函担保范围：承包人未按照基础合同的约定履行义务，应当向贵方承担的违约责任和赔偿因此造成的损失、利息、律师费、诉讼费用等实现债权的费用。</w:t>
      </w:r>
    </w:p>
    <w:p w14:paraId="75097388">
      <w:pPr>
        <w:keepNext w:val="0"/>
        <w:keepLines w:val="0"/>
        <w:pageBreakBefore w:val="0"/>
        <w:shd w:val="clear"/>
        <w:kinsoku/>
        <w:wordWrap/>
        <w:overflowPunct/>
        <w:topLinePunct w:val="0"/>
        <w:autoSpaceDE/>
        <w:autoSpaceDN/>
        <w:bidi w:val="0"/>
        <w:adjustRightInd/>
        <w:snapToGrid/>
        <w:spacing w:beforeLines="0" w:line="360" w:lineRule="auto"/>
        <w:ind w:right="0" w:rightChars="0" w:firstLine="420" w:firstLineChars="200"/>
        <w:textAlignment w:val="auto"/>
        <w:outlineLvl w:val="9"/>
        <w:rPr>
          <w:rFonts w:hint="eastAsia" w:ascii="宋体" w:hAnsi="宋体" w:eastAsia="宋体" w:cs="宋体"/>
          <w:color w:val="auto"/>
          <w:kern w:val="2"/>
          <w:sz w:val="21"/>
          <w:szCs w:val="21"/>
          <w:highlight w:val="none"/>
        </w:rPr>
      </w:pPr>
      <w:r>
        <w:rPr>
          <w:rFonts w:hint="eastAsia" w:ascii="宋体" w:hAnsi="宋体" w:eastAsia="宋体" w:cs="宋体"/>
          <w:color w:val="auto"/>
          <w:kern w:val="2"/>
          <w:sz w:val="21"/>
          <w:szCs w:val="21"/>
          <w:highlight w:val="none"/>
        </w:rPr>
        <w:t>二、本保函担保金额最高不超过人民币（大写）</w:t>
      </w:r>
      <w:r>
        <w:rPr>
          <w:rFonts w:hint="eastAsia" w:ascii="宋体" w:hAnsi="宋体" w:eastAsia="宋体" w:cs="宋体"/>
          <w:color w:val="auto"/>
          <w:kern w:val="2"/>
          <w:sz w:val="21"/>
          <w:szCs w:val="21"/>
          <w:highlight w:val="none"/>
          <w:u w:val="single"/>
        </w:rPr>
        <w:t xml:space="preserve">          </w:t>
      </w:r>
      <w:r>
        <w:rPr>
          <w:rFonts w:hint="eastAsia" w:ascii="宋体" w:hAnsi="宋体" w:eastAsia="宋体" w:cs="宋体"/>
          <w:color w:val="auto"/>
          <w:kern w:val="2"/>
          <w:sz w:val="21"/>
          <w:szCs w:val="21"/>
          <w:highlight w:val="none"/>
        </w:rPr>
        <w:t>元（¥</w:t>
      </w:r>
      <w:r>
        <w:rPr>
          <w:rFonts w:hint="eastAsia" w:ascii="宋体" w:hAnsi="宋体" w:eastAsia="宋体" w:cs="宋体"/>
          <w:color w:val="auto"/>
          <w:kern w:val="2"/>
          <w:sz w:val="21"/>
          <w:szCs w:val="21"/>
          <w:highlight w:val="none"/>
          <w:u w:val="single"/>
        </w:rPr>
        <w:t xml:space="preserve">       </w:t>
      </w:r>
      <w:r>
        <w:rPr>
          <w:rFonts w:hint="eastAsia" w:ascii="宋体" w:hAnsi="宋体" w:eastAsia="宋体" w:cs="宋体"/>
          <w:color w:val="auto"/>
          <w:kern w:val="2"/>
          <w:sz w:val="21"/>
          <w:szCs w:val="21"/>
          <w:highlight w:val="none"/>
        </w:rPr>
        <w:t>）。</w:t>
      </w:r>
    </w:p>
    <w:p w14:paraId="5CE41364">
      <w:pPr>
        <w:keepNext w:val="0"/>
        <w:keepLines w:val="0"/>
        <w:pageBreakBefore w:val="0"/>
        <w:shd w:val="clear"/>
        <w:kinsoku/>
        <w:wordWrap/>
        <w:overflowPunct/>
        <w:topLinePunct w:val="0"/>
        <w:autoSpaceDE/>
        <w:autoSpaceDN/>
        <w:bidi w:val="0"/>
        <w:adjustRightInd/>
        <w:snapToGrid/>
        <w:spacing w:beforeLines="0" w:line="360" w:lineRule="auto"/>
        <w:ind w:right="0" w:rightChars="0" w:firstLine="420" w:firstLineChars="200"/>
        <w:textAlignment w:val="auto"/>
        <w:outlineLvl w:val="9"/>
        <w:rPr>
          <w:rFonts w:hint="eastAsia" w:ascii="宋体" w:hAnsi="宋体" w:eastAsia="宋体" w:cs="宋体"/>
          <w:color w:val="auto"/>
          <w:spacing w:val="6"/>
          <w:kern w:val="2"/>
          <w:sz w:val="21"/>
          <w:szCs w:val="21"/>
          <w:highlight w:val="none"/>
        </w:rPr>
      </w:pPr>
      <w:r>
        <w:rPr>
          <w:rFonts w:hint="eastAsia" w:ascii="宋体" w:hAnsi="宋体" w:eastAsia="宋体" w:cs="宋体"/>
          <w:color w:val="auto"/>
          <w:kern w:val="2"/>
          <w:sz w:val="21"/>
          <w:szCs w:val="21"/>
          <w:highlight w:val="none"/>
        </w:rPr>
        <w:t>三、</w:t>
      </w:r>
      <w:r>
        <w:rPr>
          <w:rFonts w:hint="eastAsia" w:ascii="宋体" w:hAnsi="宋体" w:eastAsia="宋体" w:cs="宋体"/>
          <w:color w:val="auto"/>
          <w:spacing w:val="6"/>
          <w:kern w:val="2"/>
          <w:sz w:val="21"/>
          <w:szCs w:val="21"/>
          <w:highlight w:val="none"/>
        </w:rPr>
        <w:t>本保函有效期自</w:t>
      </w:r>
      <w:r>
        <w:rPr>
          <w:rFonts w:hint="eastAsia" w:ascii="宋体" w:hAnsi="宋体" w:eastAsia="宋体" w:cs="宋体"/>
          <w:color w:val="auto"/>
          <w:spacing w:val="6"/>
          <w:kern w:val="2"/>
          <w:sz w:val="21"/>
          <w:szCs w:val="21"/>
          <w:highlight w:val="none"/>
          <w:lang w:eastAsia="zh-CN"/>
        </w:rPr>
        <w:t>受益人与申请人签订的合同生效之日</w:t>
      </w:r>
      <w:r>
        <w:rPr>
          <w:rFonts w:hint="eastAsia" w:ascii="宋体" w:hAnsi="宋体" w:eastAsia="宋体" w:cs="宋体"/>
          <w:color w:val="auto"/>
          <w:spacing w:val="0"/>
          <w:kern w:val="2"/>
          <w:sz w:val="21"/>
          <w:szCs w:val="21"/>
          <w:highlight w:val="none"/>
          <w:lang w:eastAsia="zh-CN"/>
        </w:rPr>
        <w:t>起至合同约定的工期截止日后</w:t>
      </w:r>
      <w:r>
        <w:rPr>
          <w:rFonts w:hint="eastAsia" w:ascii="宋体" w:hAnsi="宋体" w:eastAsia="宋体" w:cs="宋体"/>
          <w:color w:val="auto"/>
          <w:spacing w:val="0"/>
          <w:kern w:val="2"/>
          <w:sz w:val="21"/>
          <w:szCs w:val="21"/>
          <w:highlight w:val="none"/>
          <w:u w:val="single"/>
          <w:lang w:val="en-US" w:eastAsia="zh-CN"/>
        </w:rPr>
        <w:t xml:space="preserve">  </w:t>
      </w:r>
      <w:r>
        <w:rPr>
          <w:rFonts w:hint="eastAsia" w:ascii="宋体" w:hAnsi="宋体" w:eastAsia="宋体" w:cs="宋体"/>
          <w:color w:val="auto"/>
          <w:spacing w:val="0"/>
          <w:kern w:val="2"/>
          <w:sz w:val="21"/>
          <w:szCs w:val="21"/>
          <w:highlight w:val="none"/>
        </w:rPr>
        <w:t>天</w:t>
      </w:r>
      <w:r>
        <w:rPr>
          <w:rFonts w:hint="eastAsia" w:ascii="宋体" w:hAnsi="宋体" w:eastAsia="宋体" w:cs="宋体"/>
          <w:color w:val="auto"/>
          <w:spacing w:val="0"/>
          <w:kern w:val="2"/>
          <w:sz w:val="21"/>
          <w:szCs w:val="21"/>
          <w:highlight w:val="none"/>
          <w:lang w:eastAsia="zh-CN"/>
        </w:rPr>
        <w:t>，最迟不超过</w:t>
      </w:r>
      <w:r>
        <w:rPr>
          <w:rFonts w:hint="eastAsia" w:ascii="宋体" w:hAnsi="宋体" w:eastAsia="宋体" w:cs="宋体"/>
          <w:color w:val="auto"/>
          <w:spacing w:val="0"/>
          <w:kern w:val="2"/>
          <w:sz w:val="21"/>
          <w:szCs w:val="21"/>
          <w:highlight w:val="none"/>
          <w:u w:val="single"/>
          <w:lang w:val="en-US" w:eastAsia="zh-CN"/>
        </w:rPr>
        <w:t xml:space="preserve">  </w:t>
      </w:r>
      <w:r>
        <w:rPr>
          <w:rFonts w:hint="eastAsia" w:ascii="宋体" w:hAnsi="宋体" w:eastAsia="宋体" w:cs="宋体"/>
          <w:color w:val="auto"/>
          <w:spacing w:val="0"/>
          <w:kern w:val="2"/>
          <w:sz w:val="21"/>
          <w:szCs w:val="21"/>
          <w:highlight w:val="none"/>
          <w:lang w:val="en-US" w:eastAsia="zh-CN"/>
        </w:rPr>
        <w:t>年</w:t>
      </w:r>
      <w:r>
        <w:rPr>
          <w:rFonts w:hint="eastAsia" w:ascii="宋体" w:hAnsi="宋体" w:eastAsia="宋体" w:cs="宋体"/>
          <w:color w:val="auto"/>
          <w:spacing w:val="0"/>
          <w:kern w:val="2"/>
          <w:sz w:val="21"/>
          <w:szCs w:val="21"/>
          <w:highlight w:val="none"/>
          <w:u w:val="single"/>
          <w:lang w:val="en-US" w:eastAsia="zh-CN"/>
        </w:rPr>
        <w:t xml:space="preserve">  </w:t>
      </w:r>
      <w:r>
        <w:rPr>
          <w:rFonts w:hint="eastAsia" w:ascii="宋体" w:hAnsi="宋体" w:eastAsia="宋体" w:cs="宋体"/>
          <w:color w:val="auto"/>
          <w:spacing w:val="0"/>
          <w:kern w:val="2"/>
          <w:sz w:val="21"/>
          <w:szCs w:val="21"/>
          <w:highlight w:val="none"/>
          <w:lang w:val="en-US" w:eastAsia="zh-CN"/>
        </w:rPr>
        <w:t>月</w:t>
      </w:r>
      <w:r>
        <w:rPr>
          <w:rFonts w:hint="eastAsia" w:ascii="宋体" w:hAnsi="宋体" w:eastAsia="宋体" w:cs="宋体"/>
          <w:color w:val="auto"/>
          <w:spacing w:val="0"/>
          <w:kern w:val="2"/>
          <w:sz w:val="21"/>
          <w:szCs w:val="21"/>
          <w:highlight w:val="none"/>
          <w:u w:val="single"/>
          <w:lang w:val="en-US" w:eastAsia="zh-CN"/>
        </w:rPr>
        <w:t xml:space="preserve">  </w:t>
      </w:r>
      <w:r>
        <w:rPr>
          <w:rFonts w:hint="eastAsia" w:ascii="宋体" w:hAnsi="宋体" w:eastAsia="宋体" w:cs="宋体"/>
          <w:color w:val="auto"/>
          <w:spacing w:val="0"/>
          <w:kern w:val="2"/>
          <w:sz w:val="21"/>
          <w:szCs w:val="21"/>
          <w:highlight w:val="none"/>
          <w:lang w:val="en-US" w:eastAsia="zh-CN"/>
        </w:rPr>
        <w:t>日。</w:t>
      </w:r>
    </w:p>
    <w:p w14:paraId="13BC3F47">
      <w:pPr>
        <w:keepNext w:val="0"/>
        <w:keepLines w:val="0"/>
        <w:pageBreakBefore w:val="0"/>
        <w:shd w:val="clear"/>
        <w:kinsoku/>
        <w:wordWrap/>
        <w:overflowPunct/>
        <w:topLinePunct w:val="0"/>
        <w:autoSpaceDE/>
        <w:autoSpaceDN/>
        <w:bidi w:val="0"/>
        <w:adjustRightInd/>
        <w:snapToGrid/>
        <w:spacing w:beforeLines="0" w:line="360" w:lineRule="auto"/>
        <w:ind w:right="0" w:rightChars="0" w:firstLine="420" w:firstLineChars="200"/>
        <w:textAlignment w:val="auto"/>
        <w:outlineLvl w:val="9"/>
        <w:rPr>
          <w:rFonts w:hint="eastAsia" w:ascii="宋体" w:hAnsi="宋体" w:eastAsia="宋体" w:cs="宋体"/>
          <w:color w:val="auto"/>
          <w:kern w:val="2"/>
          <w:sz w:val="21"/>
          <w:szCs w:val="21"/>
          <w:highlight w:val="none"/>
        </w:rPr>
      </w:pPr>
      <w:r>
        <w:rPr>
          <w:rFonts w:hint="eastAsia" w:ascii="宋体" w:hAnsi="宋体" w:eastAsia="宋体" w:cs="宋体"/>
          <w:color w:val="auto"/>
          <w:kern w:val="2"/>
          <w:sz w:val="21"/>
          <w:szCs w:val="21"/>
          <w:highlight w:val="none"/>
        </w:rPr>
        <w:t>四、我方承诺，在收到受益人发来的书面</w:t>
      </w:r>
      <w:r>
        <w:rPr>
          <w:rFonts w:hint="eastAsia" w:ascii="宋体" w:hAnsi="宋体" w:eastAsia="宋体" w:cs="宋体"/>
          <w:color w:val="auto"/>
          <w:kern w:val="2"/>
          <w:sz w:val="21"/>
          <w:szCs w:val="21"/>
          <w:highlight w:val="none"/>
          <w:lang w:eastAsia="zh-CN"/>
        </w:rPr>
        <w:t>索赔</w:t>
      </w:r>
      <w:r>
        <w:rPr>
          <w:rFonts w:hint="eastAsia" w:ascii="宋体" w:hAnsi="宋体" w:eastAsia="宋体" w:cs="宋体"/>
          <w:color w:val="auto"/>
          <w:kern w:val="2"/>
          <w:sz w:val="21"/>
          <w:szCs w:val="21"/>
          <w:highlight w:val="none"/>
        </w:rPr>
        <w:t>通知</w:t>
      </w:r>
      <w:r>
        <w:rPr>
          <w:rFonts w:hint="eastAsia" w:ascii="宋体" w:hAnsi="宋体" w:eastAsia="宋体" w:cs="宋体"/>
          <w:color w:val="auto"/>
          <w:kern w:val="2"/>
          <w:sz w:val="21"/>
          <w:szCs w:val="21"/>
          <w:highlight w:val="none"/>
          <w:lang w:eastAsia="zh-CN"/>
        </w:rPr>
        <w:t>和本保函原件</w:t>
      </w:r>
      <w:r>
        <w:rPr>
          <w:rFonts w:hint="eastAsia" w:ascii="宋体" w:hAnsi="宋体" w:eastAsia="宋体" w:cs="宋体"/>
          <w:color w:val="auto"/>
          <w:kern w:val="2"/>
          <w:sz w:val="21"/>
          <w:szCs w:val="21"/>
          <w:highlight w:val="none"/>
        </w:rPr>
        <w:t>后的</w:t>
      </w:r>
      <w:r>
        <w:rPr>
          <w:rFonts w:hint="eastAsia" w:ascii="宋体" w:hAnsi="宋体" w:eastAsia="宋体" w:cs="宋体"/>
          <w:color w:val="auto"/>
          <w:kern w:val="2"/>
          <w:sz w:val="21"/>
          <w:szCs w:val="21"/>
          <w:highlight w:val="none"/>
          <w:u w:val="single"/>
        </w:rPr>
        <w:t xml:space="preserve">  </w:t>
      </w:r>
      <w:r>
        <w:rPr>
          <w:rFonts w:hint="eastAsia" w:ascii="宋体" w:hAnsi="宋体" w:eastAsia="宋体" w:cs="宋体"/>
          <w:color w:val="auto"/>
          <w:kern w:val="2"/>
          <w:sz w:val="21"/>
          <w:szCs w:val="21"/>
          <w:highlight w:val="none"/>
        </w:rPr>
        <w:t>个工作日内无条件支付至受益人指定账户，前述书面</w:t>
      </w:r>
      <w:r>
        <w:rPr>
          <w:rFonts w:hint="eastAsia" w:ascii="宋体" w:hAnsi="宋体" w:eastAsia="宋体" w:cs="宋体"/>
          <w:color w:val="auto"/>
          <w:kern w:val="2"/>
          <w:sz w:val="21"/>
          <w:szCs w:val="21"/>
          <w:highlight w:val="none"/>
          <w:lang w:eastAsia="zh-CN"/>
        </w:rPr>
        <w:t>索赔</w:t>
      </w:r>
      <w:r>
        <w:rPr>
          <w:rFonts w:hint="eastAsia" w:ascii="宋体" w:hAnsi="宋体" w:eastAsia="宋体" w:cs="宋体"/>
          <w:color w:val="auto"/>
          <w:kern w:val="2"/>
          <w:sz w:val="21"/>
          <w:szCs w:val="21"/>
          <w:highlight w:val="none"/>
        </w:rPr>
        <w:t>通知即为付款要求之单据，且应满足以下要求：</w:t>
      </w:r>
    </w:p>
    <w:p w14:paraId="1C84758B">
      <w:pPr>
        <w:keepNext w:val="0"/>
        <w:keepLines w:val="0"/>
        <w:pageBreakBefore w:val="0"/>
        <w:shd w:val="clear"/>
        <w:kinsoku/>
        <w:wordWrap/>
        <w:overflowPunct/>
        <w:topLinePunct w:val="0"/>
        <w:autoSpaceDE/>
        <w:autoSpaceDN/>
        <w:bidi w:val="0"/>
        <w:adjustRightInd/>
        <w:snapToGrid/>
        <w:spacing w:beforeLines="0" w:line="360" w:lineRule="auto"/>
        <w:ind w:right="0" w:rightChars="0" w:firstLine="420" w:firstLineChars="200"/>
        <w:textAlignment w:val="auto"/>
        <w:outlineLvl w:val="9"/>
        <w:rPr>
          <w:rFonts w:hint="eastAsia" w:ascii="宋体" w:hAnsi="宋体" w:eastAsia="宋体" w:cs="宋体"/>
          <w:color w:val="auto"/>
          <w:kern w:val="2"/>
          <w:sz w:val="21"/>
          <w:szCs w:val="21"/>
          <w:highlight w:val="none"/>
        </w:rPr>
      </w:pPr>
      <w:r>
        <w:rPr>
          <w:rFonts w:hint="eastAsia" w:ascii="宋体" w:hAnsi="宋体" w:eastAsia="宋体" w:cs="宋体"/>
          <w:color w:val="auto"/>
          <w:kern w:val="2"/>
          <w:sz w:val="21"/>
          <w:szCs w:val="21"/>
          <w:highlight w:val="none"/>
        </w:rPr>
        <w:t>（1）</w:t>
      </w:r>
      <w:r>
        <w:rPr>
          <w:rFonts w:hint="eastAsia" w:ascii="宋体" w:hAnsi="宋体" w:eastAsia="宋体" w:cs="宋体"/>
          <w:color w:val="auto"/>
          <w:kern w:val="2"/>
          <w:sz w:val="21"/>
          <w:szCs w:val="21"/>
          <w:highlight w:val="none"/>
          <w:lang w:eastAsia="zh-CN"/>
        </w:rPr>
        <w:t>索赔</w:t>
      </w:r>
      <w:r>
        <w:rPr>
          <w:rFonts w:hint="eastAsia" w:ascii="宋体" w:hAnsi="宋体" w:eastAsia="宋体" w:cs="宋体"/>
          <w:color w:val="auto"/>
          <w:kern w:val="2"/>
          <w:sz w:val="21"/>
          <w:szCs w:val="21"/>
          <w:highlight w:val="none"/>
        </w:rPr>
        <w:t>通知到达的日期在本保函的有效期内；</w:t>
      </w:r>
    </w:p>
    <w:p w14:paraId="0E0DBE56">
      <w:pPr>
        <w:keepNext w:val="0"/>
        <w:keepLines w:val="0"/>
        <w:pageBreakBefore w:val="0"/>
        <w:shd w:val="clear"/>
        <w:kinsoku/>
        <w:wordWrap/>
        <w:overflowPunct/>
        <w:topLinePunct w:val="0"/>
        <w:autoSpaceDE/>
        <w:autoSpaceDN/>
        <w:bidi w:val="0"/>
        <w:adjustRightInd/>
        <w:snapToGrid/>
        <w:spacing w:beforeLines="0" w:line="360" w:lineRule="auto"/>
        <w:ind w:right="0" w:rightChars="0" w:firstLine="420" w:firstLineChars="200"/>
        <w:textAlignment w:val="auto"/>
        <w:outlineLvl w:val="9"/>
        <w:rPr>
          <w:rFonts w:hint="eastAsia" w:ascii="宋体" w:hAnsi="宋体" w:eastAsia="宋体" w:cs="宋体"/>
          <w:color w:val="auto"/>
          <w:kern w:val="2"/>
          <w:sz w:val="21"/>
          <w:szCs w:val="21"/>
          <w:highlight w:val="none"/>
        </w:rPr>
      </w:pPr>
      <w:r>
        <w:rPr>
          <w:rFonts w:hint="eastAsia" w:ascii="宋体" w:hAnsi="宋体" w:eastAsia="宋体" w:cs="宋体"/>
          <w:color w:val="auto"/>
          <w:kern w:val="2"/>
          <w:sz w:val="21"/>
          <w:szCs w:val="21"/>
          <w:highlight w:val="none"/>
        </w:rPr>
        <w:t>（2）载明要求支付的金额；</w:t>
      </w:r>
    </w:p>
    <w:p w14:paraId="12D3CA2A">
      <w:pPr>
        <w:keepNext w:val="0"/>
        <w:keepLines w:val="0"/>
        <w:pageBreakBefore w:val="0"/>
        <w:shd w:val="clear"/>
        <w:kinsoku/>
        <w:wordWrap/>
        <w:overflowPunct/>
        <w:topLinePunct w:val="0"/>
        <w:autoSpaceDE/>
        <w:autoSpaceDN/>
        <w:bidi w:val="0"/>
        <w:adjustRightInd/>
        <w:snapToGrid/>
        <w:spacing w:beforeLines="0" w:line="360" w:lineRule="auto"/>
        <w:ind w:right="0" w:rightChars="0" w:firstLine="420" w:firstLineChars="200"/>
        <w:textAlignment w:val="auto"/>
        <w:outlineLvl w:val="9"/>
        <w:rPr>
          <w:rFonts w:hint="eastAsia" w:ascii="宋体" w:hAnsi="宋体" w:eastAsia="宋体" w:cs="宋体"/>
          <w:color w:val="auto"/>
          <w:kern w:val="2"/>
          <w:sz w:val="21"/>
          <w:szCs w:val="21"/>
          <w:highlight w:val="none"/>
        </w:rPr>
      </w:pPr>
      <w:r>
        <w:rPr>
          <w:rFonts w:hint="eastAsia" w:ascii="宋体" w:hAnsi="宋体" w:eastAsia="宋体" w:cs="宋体"/>
          <w:color w:val="auto"/>
          <w:kern w:val="2"/>
          <w:sz w:val="21"/>
          <w:szCs w:val="21"/>
          <w:highlight w:val="none"/>
        </w:rPr>
        <w:t>（3）载明申请人违反合同义务的条款和内容；</w:t>
      </w:r>
    </w:p>
    <w:p w14:paraId="6630F9AF">
      <w:pPr>
        <w:keepNext w:val="0"/>
        <w:keepLines w:val="0"/>
        <w:pageBreakBefore w:val="0"/>
        <w:shd w:val="clear"/>
        <w:kinsoku/>
        <w:wordWrap/>
        <w:overflowPunct/>
        <w:topLinePunct w:val="0"/>
        <w:autoSpaceDE/>
        <w:autoSpaceDN/>
        <w:bidi w:val="0"/>
        <w:adjustRightInd/>
        <w:snapToGrid/>
        <w:spacing w:beforeLines="0" w:line="360" w:lineRule="auto"/>
        <w:ind w:right="0" w:rightChars="0" w:firstLine="420" w:firstLineChars="200"/>
        <w:textAlignment w:val="auto"/>
        <w:outlineLvl w:val="9"/>
        <w:rPr>
          <w:rFonts w:hint="eastAsia" w:ascii="宋体" w:hAnsi="宋体" w:eastAsia="宋体" w:cs="宋体"/>
          <w:color w:val="auto"/>
          <w:kern w:val="2"/>
          <w:sz w:val="21"/>
          <w:szCs w:val="21"/>
          <w:highlight w:val="none"/>
        </w:rPr>
      </w:pPr>
      <w:r>
        <w:rPr>
          <w:rFonts w:hint="eastAsia" w:ascii="宋体" w:hAnsi="宋体" w:eastAsia="宋体" w:cs="宋体"/>
          <w:color w:val="auto"/>
          <w:kern w:val="2"/>
          <w:sz w:val="21"/>
          <w:szCs w:val="21"/>
          <w:highlight w:val="none"/>
        </w:rPr>
        <w:t>（4）声明不存在合同文件约定或我国法律规定免除申请人或开立人支付责任的情形；</w:t>
      </w:r>
    </w:p>
    <w:p w14:paraId="63CA059E">
      <w:pPr>
        <w:keepNext w:val="0"/>
        <w:keepLines w:val="0"/>
        <w:pageBreakBefore w:val="0"/>
        <w:shd w:val="clear"/>
        <w:kinsoku/>
        <w:wordWrap/>
        <w:overflowPunct/>
        <w:topLinePunct w:val="0"/>
        <w:autoSpaceDE/>
        <w:autoSpaceDN/>
        <w:bidi w:val="0"/>
        <w:adjustRightInd/>
        <w:snapToGrid/>
        <w:spacing w:beforeLines="0" w:line="360" w:lineRule="auto"/>
        <w:ind w:right="0" w:rightChars="0" w:firstLine="420" w:firstLineChars="200"/>
        <w:textAlignment w:val="auto"/>
        <w:outlineLvl w:val="9"/>
        <w:rPr>
          <w:rFonts w:hint="eastAsia" w:ascii="宋体" w:hAnsi="宋体" w:eastAsia="宋体" w:cs="宋体"/>
          <w:color w:val="auto"/>
          <w:kern w:val="2"/>
          <w:sz w:val="21"/>
          <w:szCs w:val="21"/>
          <w:highlight w:val="none"/>
        </w:rPr>
      </w:pPr>
      <w:r>
        <w:rPr>
          <w:rFonts w:hint="eastAsia" w:ascii="宋体" w:hAnsi="宋体" w:eastAsia="宋体" w:cs="宋体"/>
          <w:color w:val="auto"/>
          <w:kern w:val="2"/>
          <w:sz w:val="21"/>
          <w:szCs w:val="21"/>
          <w:highlight w:val="none"/>
        </w:rPr>
        <w:t>（5）</w:t>
      </w:r>
      <w:r>
        <w:rPr>
          <w:rFonts w:hint="eastAsia" w:ascii="宋体" w:hAnsi="宋体" w:eastAsia="宋体" w:cs="宋体"/>
          <w:color w:val="auto"/>
          <w:kern w:val="2"/>
          <w:sz w:val="21"/>
          <w:szCs w:val="21"/>
          <w:highlight w:val="none"/>
          <w:lang w:eastAsia="zh-CN"/>
        </w:rPr>
        <w:t>索赔</w:t>
      </w:r>
      <w:r>
        <w:rPr>
          <w:rFonts w:hint="eastAsia" w:ascii="宋体" w:hAnsi="宋体" w:eastAsia="宋体" w:cs="宋体"/>
          <w:color w:val="auto"/>
          <w:kern w:val="2"/>
          <w:sz w:val="21"/>
          <w:szCs w:val="21"/>
          <w:highlight w:val="none"/>
        </w:rPr>
        <w:t>通知应在本保函有效期内到达的地址是：</w:t>
      </w:r>
      <w:r>
        <w:rPr>
          <w:rFonts w:hint="eastAsia" w:ascii="宋体" w:hAnsi="宋体" w:eastAsia="宋体" w:cs="宋体"/>
          <w:color w:val="auto"/>
          <w:kern w:val="2"/>
          <w:sz w:val="21"/>
          <w:szCs w:val="21"/>
          <w:highlight w:val="none"/>
          <w:u w:val="single"/>
        </w:rPr>
        <w:t xml:space="preserve">       </w:t>
      </w:r>
      <w:r>
        <w:rPr>
          <w:rFonts w:hint="eastAsia" w:ascii="宋体" w:hAnsi="宋体" w:eastAsia="宋体" w:cs="宋体"/>
          <w:color w:val="auto"/>
          <w:kern w:val="2"/>
          <w:sz w:val="21"/>
          <w:szCs w:val="21"/>
          <w:highlight w:val="none"/>
        </w:rPr>
        <w:t>。</w:t>
      </w:r>
    </w:p>
    <w:p w14:paraId="3686DEB2">
      <w:pPr>
        <w:keepNext w:val="0"/>
        <w:keepLines w:val="0"/>
        <w:pageBreakBefore w:val="0"/>
        <w:shd w:val="clear"/>
        <w:kinsoku/>
        <w:wordWrap/>
        <w:overflowPunct/>
        <w:topLinePunct w:val="0"/>
        <w:autoSpaceDE/>
        <w:autoSpaceDN/>
        <w:bidi w:val="0"/>
        <w:adjustRightInd/>
        <w:snapToGrid/>
        <w:spacing w:beforeLines="0" w:line="360" w:lineRule="auto"/>
        <w:ind w:right="0" w:rightChars="0" w:firstLine="420" w:firstLineChars="200"/>
        <w:textAlignment w:val="auto"/>
        <w:outlineLvl w:val="9"/>
        <w:rPr>
          <w:rFonts w:hint="eastAsia" w:ascii="宋体" w:hAnsi="宋体" w:eastAsia="宋体" w:cs="宋体"/>
          <w:color w:val="auto"/>
          <w:kern w:val="2"/>
          <w:sz w:val="21"/>
          <w:szCs w:val="21"/>
          <w:highlight w:val="none"/>
        </w:rPr>
      </w:pPr>
      <w:r>
        <w:rPr>
          <w:rFonts w:hint="eastAsia" w:ascii="宋体" w:hAnsi="宋体" w:eastAsia="宋体" w:cs="宋体"/>
          <w:color w:val="auto"/>
          <w:kern w:val="2"/>
          <w:sz w:val="21"/>
          <w:szCs w:val="21"/>
          <w:highlight w:val="none"/>
          <w:lang w:eastAsia="zh-CN"/>
        </w:rPr>
        <w:t>受益人发出的书面索赔通知应由其为鉴明受益人法定代表人（负责人）或授权代理人签名或盖个人名章并加盖公章。</w:t>
      </w:r>
    </w:p>
    <w:p w14:paraId="200A7F2E">
      <w:pPr>
        <w:keepNext w:val="0"/>
        <w:keepLines w:val="0"/>
        <w:pageBreakBefore w:val="0"/>
        <w:shd w:val="clear"/>
        <w:kinsoku/>
        <w:wordWrap/>
        <w:overflowPunct/>
        <w:topLinePunct w:val="0"/>
        <w:autoSpaceDE/>
        <w:autoSpaceDN/>
        <w:bidi w:val="0"/>
        <w:adjustRightInd/>
        <w:snapToGrid/>
        <w:spacing w:beforeLines="0" w:line="360" w:lineRule="auto"/>
        <w:ind w:right="0" w:rightChars="0" w:firstLine="420" w:firstLineChars="200"/>
        <w:textAlignment w:val="auto"/>
        <w:outlineLvl w:val="9"/>
        <w:rPr>
          <w:rFonts w:hint="eastAsia" w:ascii="宋体" w:hAnsi="宋体" w:eastAsia="宋体" w:cs="宋体"/>
          <w:color w:val="auto"/>
          <w:kern w:val="2"/>
          <w:sz w:val="21"/>
          <w:szCs w:val="21"/>
          <w:highlight w:val="none"/>
        </w:rPr>
      </w:pPr>
      <w:r>
        <w:rPr>
          <w:rFonts w:hint="eastAsia" w:ascii="宋体" w:hAnsi="宋体" w:eastAsia="宋体" w:cs="宋体"/>
          <w:color w:val="auto"/>
          <w:kern w:val="2"/>
          <w:sz w:val="21"/>
          <w:szCs w:val="21"/>
          <w:highlight w:val="none"/>
        </w:rPr>
        <w:t>五、本保函项下的权利不得转让，不得设定担保。贵方未经我方书面同意转让本保函或其项下任何权利，对我方不发生法律效力。</w:t>
      </w:r>
    </w:p>
    <w:p w14:paraId="005B05A7">
      <w:pPr>
        <w:keepNext w:val="0"/>
        <w:keepLines w:val="0"/>
        <w:pageBreakBefore w:val="0"/>
        <w:shd w:val="clear"/>
        <w:kinsoku/>
        <w:wordWrap/>
        <w:overflowPunct/>
        <w:topLinePunct w:val="0"/>
        <w:autoSpaceDE/>
        <w:autoSpaceDN/>
        <w:bidi w:val="0"/>
        <w:adjustRightInd/>
        <w:snapToGrid/>
        <w:spacing w:beforeLines="0" w:line="360" w:lineRule="auto"/>
        <w:ind w:right="0" w:rightChars="0" w:firstLine="420" w:firstLineChars="200"/>
        <w:textAlignment w:val="auto"/>
        <w:outlineLvl w:val="9"/>
        <w:rPr>
          <w:rFonts w:hint="eastAsia" w:ascii="宋体" w:hAnsi="宋体" w:eastAsia="宋体" w:cs="宋体"/>
          <w:color w:val="auto"/>
          <w:kern w:val="2"/>
          <w:sz w:val="21"/>
          <w:szCs w:val="21"/>
          <w:highlight w:val="none"/>
        </w:rPr>
      </w:pPr>
      <w:r>
        <w:rPr>
          <w:rFonts w:hint="eastAsia" w:ascii="宋体" w:hAnsi="宋体" w:eastAsia="宋体" w:cs="宋体"/>
          <w:color w:val="auto"/>
          <w:kern w:val="2"/>
          <w:sz w:val="21"/>
          <w:szCs w:val="21"/>
          <w:highlight w:val="none"/>
        </w:rPr>
        <w:t>六、与本保函有关的基础合同不成立、不生效、无效、被撤销、被解除，不影响本保函的独立有效。</w:t>
      </w:r>
    </w:p>
    <w:p w14:paraId="0ED2454F">
      <w:pPr>
        <w:keepNext w:val="0"/>
        <w:keepLines w:val="0"/>
        <w:pageBreakBefore w:val="0"/>
        <w:shd w:val="clear"/>
        <w:kinsoku/>
        <w:wordWrap/>
        <w:overflowPunct/>
        <w:topLinePunct w:val="0"/>
        <w:autoSpaceDE/>
        <w:autoSpaceDN/>
        <w:bidi w:val="0"/>
        <w:adjustRightInd/>
        <w:snapToGrid/>
        <w:spacing w:beforeLines="0" w:line="360" w:lineRule="auto"/>
        <w:ind w:right="0" w:rightChars="0" w:firstLine="420" w:firstLineChars="200"/>
        <w:textAlignment w:val="auto"/>
        <w:outlineLvl w:val="9"/>
        <w:rPr>
          <w:rFonts w:hint="eastAsia" w:ascii="宋体" w:hAnsi="宋体" w:eastAsia="宋体" w:cs="宋体"/>
          <w:color w:val="auto"/>
          <w:kern w:val="2"/>
          <w:sz w:val="21"/>
          <w:szCs w:val="21"/>
          <w:highlight w:val="none"/>
        </w:rPr>
      </w:pPr>
      <w:r>
        <w:rPr>
          <w:rFonts w:hint="eastAsia" w:ascii="宋体" w:hAnsi="宋体" w:eastAsia="宋体" w:cs="宋体"/>
          <w:color w:val="auto"/>
          <w:kern w:val="2"/>
          <w:sz w:val="21"/>
          <w:szCs w:val="21"/>
          <w:highlight w:val="none"/>
        </w:rPr>
        <w:t>七、贵方应在本保函到期后的</w:t>
      </w:r>
      <w:r>
        <w:rPr>
          <w:rFonts w:hint="eastAsia" w:ascii="宋体" w:hAnsi="宋体" w:eastAsia="宋体" w:cs="宋体"/>
          <w:color w:val="auto"/>
          <w:kern w:val="2"/>
          <w:sz w:val="21"/>
          <w:szCs w:val="21"/>
          <w:highlight w:val="none"/>
          <w:lang w:val="en-US" w:eastAsia="zh-CN"/>
        </w:rPr>
        <w:t>七个工作</w:t>
      </w:r>
      <w:r>
        <w:rPr>
          <w:rFonts w:hint="eastAsia" w:ascii="宋体" w:hAnsi="宋体" w:eastAsia="宋体" w:cs="宋体"/>
          <w:color w:val="auto"/>
          <w:kern w:val="2"/>
          <w:sz w:val="21"/>
          <w:szCs w:val="21"/>
          <w:highlight w:val="none"/>
        </w:rPr>
        <w:t>日内将本保函正本退回我方注销，但是不论贵方是否按此要求将本保函正本退回我方，我方在本保函项下的义务和责任均在保函有效期到期后自动消灭。</w:t>
      </w:r>
    </w:p>
    <w:p w14:paraId="70B8C4CC">
      <w:pPr>
        <w:keepNext w:val="0"/>
        <w:keepLines w:val="0"/>
        <w:pageBreakBefore w:val="0"/>
        <w:shd w:val="clear"/>
        <w:kinsoku/>
        <w:wordWrap/>
        <w:overflowPunct/>
        <w:topLinePunct w:val="0"/>
        <w:autoSpaceDE/>
        <w:autoSpaceDN/>
        <w:bidi w:val="0"/>
        <w:adjustRightInd/>
        <w:snapToGrid/>
        <w:spacing w:beforeLines="0" w:line="360" w:lineRule="auto"/>
        <w:ind w:right="0" w:rightChars="0" w:firstLine="420" w:firstLineChars="200"/>
        <w:textAlignment w:val="auto"/>
        <w:outlineLvl w:val="9"/>
        <w:rPr>
          <w:rFonts w:hint="eastAsia" w:ascii="宋体" w:hAnsi="宋体" w:eastAsia="宋体" w:cs="宋体"/>
          <w:color w:val="auto"/>
          <w:kern w:val="2"/>
          <w:sz w:val="21"/>
          <w:szCs w:val="21"/>
          <w:highlight w:val="none"/>
        </w:rPr>
      </w:pPr>
      <w:r>
        <w:rPr>
          <w:rFonts w:hint="eastAsia" w:ascii="宋体" w:hAnsi="宋体" w:eastAsia="宋体" w:cs="宋体"/>
          <w:color w:val="auto"/>
          <w:kern w:val="2"/>
          <w:sz w:val="21"/>
          <w:szCs w:val="21"/>
          <w:highlight w:val="none"/>
        </w:rPr>
        <w:t>八、本保函适用的法律为中华人民共和国法律，争议裁判管辖地为中华人民共和国</w:t>
      </w:r>
      <w:r>
        <w:rPr>
          <w:rFonts w:hint="eastAsia" w:ascii="宋体" w:hAnsi="宋体" w:eastAsia="宋体" w:cs="宋体"/>
          <w:color w:val="auto"/>
          <w:kern w:val="2"/>
          <w:sz w:val="21"/>
          <w:szCs w:val="21"/>
          <w:highlight w:val="none"/>
          <w:u w:val="single"/>
        </w:rPr>
        <w:t xml:space="preserve">  </w:t>
      </w:r>
      <w:r>
        <w:rPr>
          <w:rFonts w:hint="eastAsia" w:ascii="宋体" w:hAnsi="宋体" w:eastAsia="宋体" w:cs="宋体"/>
          <w:color w:val="auto"/>
          <w:kern w:val="2"/>
          <w:sz w:val="21"/>
          <w:szCs w:val="21"/>
          <w:highlight w:val="none"/>
          <w:u w:val="single"/>
          <w:lang w:val="en-US" w:eastAsia="zh-CN"/>
        </w:rPr>
        <w:t xml:space="preserve">      </w:t>
      </w:r>
      <w:r>
        <w:rPr>
          <w:rFonts w:hint="eastAsia" w:ascii="宋体" w:hAnsi="宋体" w:eastAsia="宋体" w:cs="宋体"/>
          <w:color w:val="auto"/>
          <w:kern w:val="2"/>
          <w:sz w:val="21"/>
          <w:szCs w:val="21"/>
          <w:highlight w:val="none"/>
          <w:u w:val="single"/>
        </w:rPr>
        <w:t xml:space="preserve">   </w:t>
      </w:r>
      <w:r>
        <w:rPr>
          <w:rFonts w:hint="eastAsia" w:ascii="宋体" w:hAnsi="宋体" w:eastAsia="宋体" w:cs="宋体"/>
          <w:color w:val="auto"/>
          <w:kern w:val="2"/>
          <w:sz w:val="21"/>
          <w:szCs w:val="21"/>
          <w:highlight w:val="none"/>
        </w:rPr>
        <w:t>。</w:t>
      </w:r>
    </w:p>
    <w:p w14:paraId="2539FED1">
      <w:pPr>
        <w:keepNext w:val="0"/>
        <w:keepLines w:val="0"/>
        <w:pageBreakBefore w:val="0"/>
        <w:shd w:val="clear"/>
        <w:kinsoku/>
        <w:wordWrap/>
        <w:overflowPunct/>
        <w:topLinePunct w:val="0"/>
        <w:autoSpaceDE/>
        <w:autoSpaceDN/>
        <w:bidi w:val="0"/>
        <w:adjustRightInd/>
        <w:snapToGrid/>
        <w:spacing w:beforeLines="0" w:line="360" w:lineRule="auto"/>
        <w:ind w:right="0" w:rightChars="0" w:firstLine="420" w:firstLineChars="200"/>
        <w:textAlignment w:val="auto"/>
        <w:outlineLvl w:val="9"/>
        <w:rPr>
          <w:rFonts w:hint="eastAsia" w:ascii="宋体" w:hAnsi="宋体" w:eastAsia="宋体" w:cs="宋体"/>
          <w:color w:val="auto"/>
          <w:kern w:val="2"/>
          <w:sz w:val="21"/>
          <w:szCs w:val="21"/>
          <w:highlight w:val="none"/>
        </w:rPr>
      </w:pPr>
      <w:r>
        <w:rPr>
          <w:rFonts w:hint="eastAsia" w:ascii="宋体" w:hAnsi="宋体" w:eastAsia="宋体" w:cs="宋体"/>
          <w:color w:val="auto"/>
          <w:kern w:val="2"/>
          <w:sz w:val="21"/>
          <w:szCs w:val="21"/>
          <w:highlight w:val="none"/>
        </w:rPr>
        <w:t>九、本保函自我方法定代表人或授权代表</w:t>
      </w:r>
      <w:r>
        <w:rPr>
          <w:rFonts w:hint="eastAsia" w:ascii="宋体" w:hAnsi="宋体" w:eastAsia="宋体" w:cs="宋体"/>
          <w:color w:val="auto"/>
          <w:kern w:val="2"/>
          <w:sz w:val="21"/>
          <w:szCs w:val="21"/>
          <w:highlight w:val="none"/>
          <w:lang w:eastAsia="zh-CN"/>
        </w:rPr>
        <w:t>签名</w:t>
      </w:r>
      <w:r>
        <w:rPr>
          <w:rFonts w:hint="eastAsia" w:ascii="宋体" w:hAnsi="宋体" w:eastAsia="宋体" w:cs="宋体"/>
          <w:color w:val="auto"/>
          <w:kern w:val="2"/>
          <w:sz w:val="21"/>
          <w:szCs w:val="21"/>
          <w:highlight w:val="none"/>
        </w:rPr>
        <w:t>或盖个人名章并加盖公章或合同专用章之日起生效。</w:t>
      </w:r>
    </w:p>
    <w:p w14:paraId="7A70F7C6">
      <w:pPr>
        <w:keepNext w:val="0"/>
        <w:keepLines w:val="0"/>
        <w:pageBreakBefore w:val="0"/>
        <w:widowControl w:val="0"/>
        <w:shd w:val="clear"/>
        <w:kinsoku/>
        <w:wordWrap/>
        <w:overflowPunct/>
        <w:topLinePunct w:val="0"/>
        <w:autoSpaceDE/>
        <w:autoSpaceDN/>
        <w:bidi w:val="0"/>
        <w:adjustRightInd/>
        <w:snapToGrid/>
        <w:spacing w:beforeLines="0" w:line="360" w:lineRule="auto"/>
        <w:ind w:right="0" w:rightChars="0" w:firstLine="420" w:firstLineChars="200"/>
        <w:textAlignment w:val="auto"/>
        <w:outlineLvl w:val="9"/>
        <w:rPr>
          <w:rFonts w:hint="eastAsia" w:ascii="宋体" w:hAnsi="宋体" w:eastAsia="宋体" w:cs="宋体"/>
          <w:color w:val="auto"/>
          <w:kern w:val="2"/>
          <w:sz w:val="21"/>
          <w:szCs w:val="21"/>
          <w:highlight w:val="none"/>
          <w:u w:val="none"/>
        </w:rPr>
      </w:pPr>
      <w:r>
        <w:rPr>
          <w:rFonts w:hint="eastAsia" w:ascii="宋体" w:hAnsi="宋体" w:eastAsia="宋体" w:cs="宋体"/>
          <w:color w:val="auto"/>
          <w:kern w:val="2"/>
          <w:sz w:val="21"/>
          <w:szCs w:val="21"/>
          <w:highlight w:val="none"/>
          <w:lang w:val="en-US" w:eastAsia="zh-CN"/>
        </w:rPr>
        <w:t>十、</w:t>
      </w:r>
      <w:r>
        <w:rPr>
          <w:rFonts w:hint="eastAsia" w:ascii="宋体" w:hAnsi="宋体" w:eastAsia="宋体" w:cs="宋体"/>
          <w:color w:val="auto"/>
          <w:kern w:val="2"/>
          <w:sz w:val="21"/>
          <w:szCs w:val="21"/>
          <w:highlight w:val="none"/>
          <w:lang w:eastAsia="zh-CN"/>
        </w:rPr>
        <w:t>本保函在重庆市辖区范围内的核验地点：</w:t>
      </w:r>
      <w:r>
        <w:rPr>
          <w:rFonts w:hint="eastAsia" w:ascii="宋体" w:hAnsi="宋体" w:eastAsia="宋体" w:cs="宋体"/>
          <w:color w:val="auto"/>
          <w:kern w:val="2"/>
          <w:sz w:val="21"/>
          <w:szCs w:val="21"/>
          <w:highlight w:val="none"/>
          <w:u w:val="single"/>
        </w:rPr>
        <w:t xml:space="preserve">   </w:t>
      </w:r>
      <w:r>
        <w:rPr>
          <w:rFonts w:hint="eastAsia" w:ascii="宋体" w:hAnsi="宋体" w:eastAsia="宋体" w:cs="宋体"/>
          <w:color w:val="auto"/>
          <w:kern w:val="2"/>
          <w:sz w:val="21"/>
          <w:szCs w:val="21"/>
          <w:highlight w:val="none"/>
          <w:u w:val="single"/>
          <w:lang w:val="en-US" w:eastAsia="zh-CN"/>
        </w:rPr>
        <w:t xml:space="preserve">    </w:t>
      </w:r>
      <w:r>
        <w:rPr>
          <w:rFonts w:hint="eastAsia" w:ascii="宋体" w:hAnsi="宋体" w:eastAsia="宋体" w:cs="宋体"/>
          <w:color w:val="auto"/>
          <w:kern w:val="2"/>
          <w:sz w:val="21"/>
          <w:szCs w:val="21"/>
          <w:highlight w:val="none"/>
          <w:u w:val="single"/>
        </w:rPr>
        <w:t xml:space="preserve">   </w:t>
      </w:r>
      <w:r>
        <w:rPr>
          <w:rFonts w:hint="eastAsia" w:ascii="宋体" w:hAnsi="宋体" w:eastAsia="宋体" w:cs="宋体"/>
          <w:color w:val="auto"/>
          <w:kern w:val="2"/>
          <w:sz w:val="21"/>
          <w:szCs w:val="21"/>
          <w:highlight w:val="none"/>
          <w:u w:val="none"/>
          <w:lang w:eastAsia="zh-CN"/>
        </w:rPr>
        <w:t>；核验方式：</w:t>
      </w:r>
      <w:r>
        <w:rPr>
          <w:rFonts w:hint="eastAsia" w:ascii="宋体" w:hAnsi="宋体" w:eastAsia="宋体" w:cs="宋体"/>
          <w:color w:val="auto"/>
          <w:kern w:val="2"/>
          <w:sz w:val="21"/>
          <w:szCs w:val="21"/>
          <w:highlight w:val="none"/>
          <w:u w:val="single"/>
        </w:rPr>
        <w:t xml:space="preserve">      </w:t>
      </w:r>
      <w:r>
        <w:rPr>
          <w:rFonts w:hint="eastAsia" w:ascii="宋体" w:hAnsi="宋体" w:eastAsia="宋体" w:cs="宋体"/>
          <w:color w:val="auto"/>
          <w:kern w:val="2"/>
          <w:sz w:val="21"/>
          <w:szCs w:val="21"/>
          <w:highlight w:val="none"/>
          <w:u w:val="single"/>
          <w:lang w:val="en-US" w:eastAsia="zh-CN"/>
        </w:rPr>
        <w:t xml:space="preserve">  </w:t>
      </w:r>
      <w:r>
        <w:rPr>
          <w:rFonts w:hint="eastAsia" w:ascii="宋体" w:hAnsi="宋体" w:eastAsia="宋体" w:cs="宋体"/>
          <w:color w:val="auto"/>
          <w:kern w:val="2"/>
          <w:sz w:val="21"/>
          <w:szCs w:val="21"/>
          <w:highlight w:val="none"/>
          <w:u w:val="none"/>
          <w:lang w:val="en-US" w:eastAsia="zh-CN"/>
        </w:rPr>
        <w:t>。</w:t>
      </w:r>
    </w:p>
    <w:p w14:paraId="3E385B0E">
      <w:pPr>
        <w:keepNext w:val="0"/>
        <w:keepLines w:val="0"/>
        <w:pageBreakBefore w:val="0"/>
        <w:widowControl w:val="0"/>
        <w:shd w:val="clear"/>
        <w:kinsoku/>
        <w:wordWrap/>
        <w:topLinePunct w:val="0"/>
        <w:autoSpaceDE/>
        <w:autoSpaceDN/>
        <w:bidi w:val="0"/>
        <w:snapToGrid/>
        <w:spacing w:beforeLines="0" w:after="0" w:line="360" w:lineRule="auto"/>
        <w:jc w:val="both"/>
        <w:rPr>
          <w:rFonts w:hint="eastAsia" w:ascii="宋体" w:hAnsi="宋体" w:eastAsia="宋体" w:cs="宋体"/>
          <w:color w:val="auto"/>
          <w:kern w:val="2"/>
          <w:sz w:val="21"/>
          <w:szCs w:val="21"/>
          <w:highlight w:val="none"/>
          <w:lang w:val="en-US" w:eastAsia="zh-CN" w:bidi="ar-SA"/>
        </w:rPr>
      </w:pPr>
    </w:p>
    <w:p w14:paraId="0B8DCAA2">
      <w:pPr>
        <w:keepNext w:val="0"/>
        <w:keepLines w:val="0"/>
        <w:pageBreakBefore w:val="0"/>
        <w:shd w:val="clear"/>
        <w:kinsoku/>
        <w:wordWrap/>
        <w:overflowPunct/>
        <w:topLinePunct w:val="0"/>
        <w:autoSpaceDE/>
        <w:autoSpaceDN/>
        <w:bidi w:val="0"/>
        <w:adjustRightInd/>
        <w:snapToGrid/>
        <w:spacing w:beforeLines="0" w:line="360" w:lineRule="auto"/>
        <w:ind w:right="0" w:rightChars="0" w:firstLine="420" w:firstLineChars="200"/>
        <w:textAlignment w:val="auto"/>
        <w:outlineLvl w:val="9"/>
        <w:rPr>
          <w:rFonts w:hint="eastAsia" w:ascii="宋体" w:hAnsi="宋体" w:eastAsia="宋体" w:cs="宋体"/>
          <w:color w:val="auto"/>
          <w:kern w:val="2"/>
          <w:sz w:val="21"/>
          <w:szCs w:val="21"/>
          <w:highlight w:val="none"/>
        </w:rPr>
      </w:pPr>
      <w:r>
        <w:rPr>
          <w:rFonts w:hint="eastAsia" w:ascii="宋体" w:hAnsi="宋体" w:eastAsia="宋体" w:cs="宋体"/>
          <w:color w:val="auto"/>
          <w:kern w:val="2"/>
          <w:sz w:val="21"/>
          <w:szCs w:val="21"/>
          <w:highlight w:val="none"/>
        </w:rPr>
        <w:t xml:space="preserve">开 立 人： </w:t>
      </w:r>
      <w:r>
        <w:rPr>
          <w:rFonts w:hint="eastAsia" w:ascii="宋体" w:hAnsi="宋体" w:eastAsia="宋体" w:cs="宋体"/>
          <w:color w:val="auto"/>
          <w:kern w:val="2"/>
          <w:sz w:val="21"/>
          <w:szCs w:val="21"/>
          <w:highlight w:val="none"/>
          <w:u w:val="single"/>
        </w:rPr>
        <w:t xml:space="preserve">              </w:t>
      </w:r>
      <w:r>
        <w:rPr>
          <w:rFonts w:hint="eastAsia" w:ascii="宋体" w:hAnsi="宋体" w:eastAsia="宋体" w:cs="宋体"/>
          <w:color w:val="auto"/>
          <w:kern w:val="2"/>
          <w:sz w:val="21"/>
          <w:szCs w:val="21"/>
          <w:highlight w:val="none"/>
          <w:u w:val="single"/>
          <w:lang w:val="en-US" w:eastAsia="zh-CN"/>
        </w:rPr>
        <w:t xml:space="preserve">                  </w:t>
      </w:r>
      <w:r>
        <w:rPr>
          <w:rFonts w:hint="eastAsia" w:ascii="宋体" w:hAnsi="宋体" w:eastAsia="宋体" w:cs="宋体"/>
          <w:color w:val="auto"/>
          <w:kern w:val="2"/>
          <w:sz w:val="21"/>
          <w:szCs w:val="21"/>
          <w:highlight w:val="none"/>
          <w:u w:val="single"/>
        </w:rPr>
        <w:t xml:space="preserve">  </w:t>
      </w:r>
      <w:r>
        <w:rPr>
          <w:rFonts w:hint="eastAsia" w:ascii="宋体" w:hAnsi="宋体" w:eastAsia="宋体" w:cs="宋体"/>
          <w:color w:val="auto"/>
          <w:kern w:val="2"/>
          <w:sz w:val="21"/>
          <w:szCs w:val="21"/>
          <w:highlight w:val="none"/>
        </w:rPr>
        <w:t>（公章）</w:t>
      </w:r>
    </w:p>
    <w:p w14:paraId="03E66661">
      <w:pPr>
        <w:keepNext w:val="0"/>
        <w:keepLines w:val="0"/>
        <w:pageBreakBefore w:val="0"/>
        <w:shd w:val="clear"/>
        <w:kinsoku/>
        <w:wordWrap/>
        <w:overflowPunct/>
        <w:topLinePunct w:val="0"/>
        <w:autoSpaceDE/>
        <w:autoSpaceDN/>
        <w:bidi w:val="0"/>
        <w:adjustRightInd/>
        <w:snapToGrid/>
        <w:spacing w:beforeLines="0" w:line="360" w:lineRule="auto"/>
        <w:ind w:right="0" w:rightChars="0" w:firstLine="420" w:firstLineChars="200"/>
        <w:textAlignment w:val="auto"/>
        <w:outlineLvl w:val="9"/>
        <w:rPr>
          <w:rFonts w:hint="eastAsia" w:ascii="宋体" w:hAnsi="宋体" w:eastAsia="宋体" w:cs="宋体"/>
          <w:color w:val="auto"/>
          <w:kern w:val="2"/>
          <w:sz w:val="21"/>
          <w:szCs w:val="21"/>
          <w:highlight w:val="none"/>
        </w:rPr>
      </w:pPr>
      <w:r>
        <w:rPr>
          <w:rFonts w:hint="eastAsia" w:ascii="宋体" w:hAnsi="宋体" w:eastAsia="宋体" w:cs="宋体"/>
          <w:color w:val="auto"/>
          <w:kern w:val="2"/>
          <w:sz w:val="21"/>
          <w:szCs w:val="21"/>
          <w:highlight w:val="none"/>
        </w:rPr>
        <w:t>法定代表人（或授权代表）：</w:t>
      </w:r>
      <w:r>
        <w:rPr>
          <w:rFonts w:hint="eastAsia" w:ascii="宋体" w:hAnsi="宋体" w:eastAsia="宋体" w:cs="宋体"/>
          <w:color w:val="auto"/>
          <w:kern w:val="2"/>
          <w:sz w:val="21"/>
          <w:szCs w:val="21"/>
          <w:highlight w:val="none"/>
          <w:u w:val="single"/>
        </w:rPr>
        <w:t xml:space="preserve">  </w:t>
      </w:r>
      <w:r>
        <w:rPr>
          <w:rFonts w:hint="eastAsia" w:ascii="宋体" w:hAnsi="宋体" w:eastAsia="宋体" w:cs="宋体"/>
          <w:color w:val="auto"/>
          <w:kern w:val="2"/>
          <w:sz w:val="21"/>
          <w:szCs w:val="21"/>
          <w:highlight w:val="none"/>
          <w:u w:val="single"/>
          <w:lang w:val="en-US" w:eastAsia="zh-CN"/>
        </w:rPr>
        <w:t xml:space="preserve">   </w:t>
      </w:r>
      <w:r>
        <w:rPr>
          <w:rFonts w:hint="eastAsia" w:ascii="宋体" w:hAnsi="宋体" w:eastAsia="宋体" w:cs="宋体"/>
          <w:color w:val="auto"/>
          <w:kern w:val="2"/>
          <w:sz w:val="21"/>
          <w:szCs w:val="21"/>
          <w:highlight w:val="none"/>
          <w:u w:val="single"/>
        </w:rPr>
        <w:t xml:space="preserve"> </w:t>
      </w:r>
      <w:r>
        <w:rPr>
          <w:rFonts w:hint="eastAsia" w:ascii="宋体" w:hAnsi="宋体" w:eastAsia="宋体" w:cs="宋体"/>
          <w:color w:val="auto"/>
          <w:kern w:val="2"/>
          <w:sz w:val="21"/>
          <w:szCs w:val="21"/>
          <w:highlight w:val="none"/>
          <w:u w:val="single"/>
          <w:lang w:val="en-US" w:eastAsia="zh-CN"/>
        </w:rPr>
        <w:t xml:space="preserve"> </w:t>
      </w:r>
      <w:r>
        <w:rPr>
          <w:rFonts w:hint="eastAsia" w:ascii="宋体" w:hAnsi="宋体" w:eastAsia="宋体" w:cs="宋体"/>
          <w:color w:val="auto"/>
          <w:kern w:val="2"/>
          <w:sz w:val="21"/>
          <w:szCs w:val="21"/>
          <w:highlight w:val="none"/>
          <w:u w:val="single"/>
        </w:rPr>
        <w:t xml:space="preserve"> </w:t>
      </w:r>
      <w:r>
        <w:rPr>
          <w:rFonts w:hint="eastAsia" w:ascii="宋体" w:hAnsi="宋体" w:eastAsia="宋体" w:cs="宋体"/>
          <w:color w:val="auto"/>
          <w:kern w:val="2"/>
          <w:sz w:val="21"/>
          <w:szCs w:val="21"/>
          <w:highlight w:val="none"/>
        </w:rPr>
        <w:t>（</w:t>
      </w:r>
      <w:r>
        <w:rPr>
          <w:rFonts w:hint="eastAsia" w:ascii="宋体" w:hAnsi="宋体" w:eastAsia="宋体" w:cs="宋体"/>
          <w:color w:val="auto"/>
          <w:kern w:val="2"/>
          <w:sz w:val="21"/>
          <w:szCs w:val="21"/>
          <w:highlight w:val="none"/>
          <w:lang w:eastAsia="zh-CN"/>
        </w:rPr>
        <w:t>签名或盖个人名章</w:t>
      </w:r>
      <w:r>
        <w:rPr>
          <w:rFonts w:hint="eastAsia" w:ascii="宋体" w:hAnsi="宋体" w:eastAsia="宋体" w:cs="宋体"/>
          <w:color w:val="auto"/>
          <w:kern w:val="2"/>
          <w:sz w:val="21"/>
          <w:szCs w:val="21"/>
          <w:highlight w:val="none"/>
        </w:rPr>
        <w:t>）</w:t>
      </w:r>
    </w:p>
    <w:p w14:paraId="180A4B3D">
      <w:pPr>
        <w:keepNext w:val="0"/>
        <w:keepLines w:val="0"/>
        <w:pageBreakBefore w:val="0"/>
        <w:shd w:val="clear"/>
        <w:kinsoku/>
        <w:wordWrap/>
        <w:overflowPunct/>
        <w:topLinePunct w:val="0"/>
        <w:autoSpaceDE/>
        <w:autoSpaceDN/>
        <w:bidi w:val="0"/>
        <w:adjustRightInd/>
        <w:snapToGrid/>
        <w:spacing w:beforeLines="0" w:line="360" w:lineRule="auto"/>
        <w:ind w:right="0" w:rightChars="0" w:firstLine="420" w:firstLineChars="200"/>
        <w:textAlignment w:val="auto"/>
        <w:outlineLvl w:val="9"/>
        <w:rPr>
          <w:rFonts w:hint="eastAsia" w:ascii="宋体" w:hAnsi="宋体" w:eastAsia="宋体" w:cs="宋体"/>
          <w:color w:val="auto"/>
          <w:kern w:val="2"/>
          <w:sz w:val="21"/>
          <w:szCs w:val="21"/>
          <w:highlight w:val="none"/>
          <w:u w:val="single"/>
          <w:lang w:val="en-US" w:eastAsia="zh-CN"/>
        </w:rPr>
      </w:pPr>
      <w:r>
        <w:rPr>
          <w:rFonts w:hint="eastAsia" w:ascii="宋体" w:hAnsi="宋体" w:eastAsia="宋体" w:cs="宋体"/>
          <w:color w:val="auto"/>
          <w:kern w:val="2"/>
          <w:sz w:val="21"/>
          <w:szCs w:val="21"/>
          <w:highlight w:val="none"/>
        </w:rPr>
        <w:t xml:space="preserve">地   </w:t>
      </w:r>
      <w:r>
        <w:rPr>
          <w:rFonts w:hint="eastAsia" w:ascii="宋体" w:hAnsi="宋体" w:eastAsia="宋体" w:cs="宋体"/>
          <w:color w:val="auto"/>
          <w:kern w:val="2"/>
          <w:sz w:val="21"/>
          <w:szCs w:val="21"/>
          <w:highlight w:val="none"/>
          <w:lang w:val="en-US" w:eastAsia="zh-CN"/>
        </w:rPr>
        <w:t xml:space="preserve"> </w:t>
      </w:r>
      <w:r>
        <w:rPr>
          <w:rFonts w:hint="eastAsia" w:ascii="宋体" w:hAnsi="宋体" w:eastAsia="宋体" w:cs="宋体"/>
          <w:color w:val="auto"/>
          <w:kern w:val="2"/>
          <w:sz w:val="21"/>
          <w:szCs w:val="21"/>
          <w:highlight w:val="none"/>
        </w:rPr>
        <w:t>址：</w:t>
      </w:r>
      <w:r>
        <w:rPr>
          <w:rFonts w:hint="eastAsia" w:ascii="宋体" w:hAnsi="宋体" w:eastAsia="宋体" w:cs="宋体"/>
          <w:color w:val="auto"/>
          <w:kern w:val="2"/>
          <w:sz w:val="21"/>
          <w:szCs w:val="21"/>
          <w:highlight w:val="none"/>
          <w:u w:val="single"/>
        </w:rPr>
        <w:t xml:space="preserve">                       </w:t>
      </w:r>
      <w:r>
        <w:rPr>
          <w:rFonts w:hint="eastAsia" w:ascii="宋体" w:hAnsi="宋体" w:eastAsia="宋体" w:cs="宋体"/>
          <w:color w:val="auto"/>
          <w:kern w:val="2"/>
          <w:sz w:val="21"/>
          <w:szCs w:val="21"/>
          <w:highlight w:val="none"/>
          <w:u w:val="single"/>
          <w:lang w:val="en-US" w:eastAsia="zh-CN"/>
        </w:rPr>
        <w:t xml:space="preserve">  </w:t>
      </w:r>
      <w:r>
        <w:rPr>
          <w:rFonts w:hint="eastAsia" w:ascii="宋体" w:hAnsi="宋体" w:eastAsia="宋体" w:cs="宋体"/>
          <w:color w:val="auto"/>
          <w:kern w:val="2"/>
          <w:sz w:val="21"/>
          <w:szCs w:val="21"/>
          <w:highlight w:val="none"/>
          <w:u w:val="single"/>
        </w:rPr>
        <w:t xml:space="preserve">  </w:t>
      </w:r>
      <w:r>
        <w:rPr>
          <w:rFonts w:hint="eastAsia" w:ascii="宋体" w:hAnsi="宋体" w:eastAsia="宋体" w:cs="宋体"/>
          <w:color w:val="auto"/>
          <w:kern w:val="2"/>
          <w:sz w:val="21"/>
          <w:szCs w:val="21"/>
          <w:highlight w:val="none"/>
          <w:u w:val="single"/>
          <w:lang w:val="en-US" w:eastAsia="zh-CN"/>
        </w:rPr>
        <w:t xml:space="preserve"> </w:t>
      </w:r>
      <w:r>
        <w:rPr>
          <w:rFonts w:hint="eastAsia" w:ascii="宋体" w:hAnsi="宋体" w:eastAsia="宋体" w:cs="宋体"/>
          <w:color w:val="auto"/>
          <w:kern w:val="2"/>
          <w:sz w:val="21"/>
          <w:szCs w:val="21"/>
          <w:highlight w:val="none"/>
          <w:u w:val="single"/>
        </w:rPr>
        <w:t xml:space="preserve"> </w:t>
      </w:r>
      <w:r>
        <w:rPr>
          <w:rFonts w:hint="eastAsia" w:ascii="宋体" w:hAnsi="宋体" w:eastAsia="宋体" w:cs="宋体"/>
          <w:color w:val="auto"/>
          <w:kern w:val="2"/>
          <w:sz w:val="21"/>
          <w:szCs w:val="21"/>
          <w:highlight w:val="none"/>
          <w:u w:val="single"/>
          <w:lang w:val="en-US" w:eastAsia="zh-CN"/>
        </w:rPr>
        <w:t xml:space="preserve">       </w:t>
      </w:r>
      <w:r>
        <w:rPr>
          <w:rFonts w:hint="eastAsia" w:ascii="宋体" w:hAnsi="宋体" w:eastAsia="宋体" w:cs="宋体"/>
          <w:color w:val="auto"/>
          <w:kern w:val="2"/>
          <w:sz w:val="21"/>
          <w:szCs w:val="21"/>
          <w:highlight w:val="none"/>
          <w:u w:val="single"/>
        </w:rPr>
        <w:t xml:space="preserve">      </w:t>
      </w:r>
    </w:p>
    <w:p w14:paraId="669BAE6F">
      <w:pPr>
        <w:keepNext w:val="0"/>
        <w:keepLines w:val="0"/>
        <w:pageBreakBefore w:val="0"/>
        <w:shd w:val="clear"/>
        <w:kinsoku/>
        <w:wordWrap/>
        <w:overflowPunct/>
        <w:topLinePunct w:val="0"/>
        <w:autoSpaceDE/>
        <w:autoSpaceDN/>
        <w:bidi w:val="0"/>
        <w:adjustRightInd/>
        <w:snapToGrid/>
        <w:spacing w:beforeLines="0" w:line="360" w:lineRule="auto"/>
        <w:ind w:right="0" w:rightChars="0" w:firstLine="420" w:firstLineChars="200"/>
        <w:textAlignment w:val="auto"/>
        <w:outlineLvl w:val="9"/>
        <w:rPr>
          <w:rFonts w:hint="eastAsia" w:ascii="宋体" w:hAnsi="宋体" w:eastAsia="宋体" w:cs="宋体"/>
          <w:color w:val="auto"/>
          <w:kern w:val="2"/>
          <w:sz w:val="21"/>
          <w:szCs w:val="21"/>
          <w:highlight w:val="none"/>
        </w:rPr>
      </w:pPr>
      <w:r>
        <w:rPr>
          <w:rFonts w:hint="eastAsia" w:ascii="宋体" w:hAnsi="宋体" w:eastAsia="宋体" w:cs="宋体"/>
          <w:color w:val="auto"/>
          <w:kern w:val="2"/>
          <w:sz w:val="21"/>
          <w:szCs w:val="21"/>
          <w:highlight w:val="none"/>
        </w:rPr>
        <w:t>邮政编码：</w:t>
      </w:r>
      <w:r>
        <w:rPr>
          <w:rFonts w:hint="eastAsia" w:ascii="宋体" w:hAnsi="宋体" w:eastAsia="宋体" w:cs="宋体"/>
          <w:color w:val="auto"/>
          <w:kern w:val="2"/>
          <w:sz w:val="21"/>
          <w:szCs w:val="21"/>
          <w:highlight w:val="none"/>
          <w:u w:val="single"/>
        </w:rPr>
        <w:t xml:space="preserve">                        </w:t>
      </w:r>
      <w:r>
        <w:rPr>
          <w:rFonts w:hint="eastAsia" w:ascii="宋体" w:hAnsi="宋体" w:eastAsia="宋体" w:cs="宋体"/>
          <w:color w:val="auto"/>
          <w:kern w:val="2"/>
          <w:sz w:val="21"/>
          <w:szCs w:val="21"/>
          <w:highlight w:val="none"/>
          <w:u w:val="single"/>
          <w:lang w:val="en-US" w:eastAsia="zh-CN"/>
        </w:rPr>
        <w:t xml:space="preserve">    </w:t>
      </w:r>
      <w:r>
        <w:rPr>
          <w:rFonts w:hint="eastAsia" w:ascii="宋体" w:hAnsi="宋体" w:eastAsia="宋体" w:cs="宋体"/>
          <w:color w:val="auto"/>
          <w:kern w:val="2"/>
          <w:sz w:val="21"/>
          <w:szCs w:val="21"/>
          <w:highlight w:val="none"/>
          <w:u w:val="single"/>
        </w:rPr>
        <w:t xml:space="preserve">    </w:t>
      </w:r>
      <w:r>
        <w:rPr>
          <w:rFonts w:hint="eastAsia" w:ascii="宋体" w:hAnsi="宋体" w:eastAsia="宋体" w:cs="宋体"/>
          <w:color w:val="auto"/>
          <w:kern w:val="2"/>
          <w:sz w:val="21"/>
          <w:szCs w:val="21"/>
          <w:highlight w:val="none"/>
          <w:u w:val="single"/>
          <w:lang w:val="en-US" w:eastAsia="zh-CN"/>
        </w:rPr>
        <w:t xml:space="preserve">       </w:t>
      </w:r>
      <w:r>
        <w:rPr>
          <w:rFonts w:hint="eastAsia" w:ascii="宋体" w:hAnsi="宋体" w:eastAsia="宋体" w:cs="宋体"/>
          <w:color w:val="auto"/>
          <w:kern w:val="2"/>
          <w:sz w:val="21"/>
          <w:szCs w:val="21"/>
          <w:highlight w:val="none"/>
          <w:u w:val="single"/>
        </w:rPr>
        <w:t xml:space="preserve">   </w:t>
      </w:r>
    </w:p>
    <w:p w14:paraId="7EE8FED0">
      <w:pPr>
        <w:keepNext w:val="0"/>
        <w:keepLines w:val="0"/>
        <w:pageBreakBefore w:val="0"/>
        <w:shd w:val="clear"/>
        <w:kinsoku/>
        <w:wordWrap/>
        <w:overflowPunct/>
        <w:topLinePunct w:val="0"/>
        <w:autoSpaceDE/>
        <w:autoSpaceDN/>
        <w:bidi w:val="0"/>
        <w:adjustRightInd/>
        <w:snapToGrid/>
        <w:spacing w:beforeLines="0" w:line="360" w:lineRule="auto"/>
        <w:ind w:right="0" w:rightChars="0" w:firstLine="420" w:firstLineChars="200"/>
        <w:textAlignment w:val="auto"/>
        <w:outlineLvl w:val="9"/>
        <w:rPr>
          <w:rFonts w:hint="eastAsia" w:ascii="宋体" w:hAnsi="宋体" w:eastAsia="宋体" w:cs="宋体"/>
          <w:color w:val="auto"/>
          <w:kern w:val="2"/>
          <w:sz w:val="21"/>
          <w:szCs w:val="21"/>
          <w:highlight w:val="none"/>
        </w:rPr>
      </w:pPr>
      <w:r>
        <w:rPr>
          <w:rFonts w:hint="eastAsia" w:ascii="宋体" w:hAnsi="宋体" w:eastAsia="宋体" w:cs="宋体"/>
          <w:color w:val="auto"/>
          <w:kern w:val="2"/>
          <w:sz w:val="21"/>
          <w:szCs w:val="21"/>
          <w:highlight w:val="none"/>
        </w:rPr>
        <w:t>电    话：</w:t>
      </w:r>
      <w:r>
        <w:rPr>
          <w:rFonts w:hint="eastAsia" w:ascii="宋体" w:hAnsi="宋体" w:eastAsia="宋体" w:cs="宋体"/>
          <w:color w:val="auto"/>
          <w:kern w:val="2"/>
          <w:sz w:val="21"/>
          <w:szCs w:val="21"/>
          <w:highlight w:val="none"/>
          <w:u w:val="single"/>
        </w:rPr>
        <w:t xml:space="preserve">                        </w:t>
      </w:r>
      <w:r>
        <w:rPr>
          <w:rFonts w:hint="eastAsia" w:ascii="宋体" w:hAnsi="宋体" w:eastAsia="宋体" w:cs="宋体"/>
          <w:color w:val="auto"/>
          <w:kern w:val="2"/>
          <w:sz w:val="21"/>
          <w:szCs w:val="21"/>
          <w:highlight w:val="none"/>
          <w:u w:val="single"/>
          <w:lang w:val="en-US" w:eastAsia="zh-CN"/>
        </w:rPr>
        <w:t xml:space="preserve"> </w:t>
      </w:r>
      <w:r>
        <w:rPr>
          <w:rFonts w:hint="eastAsia" w:ascii="宋体" w:hAnsi="宋体" w:eastAsia="宋体" w:cs="宋体"/>
          <w:color w:val="auto"/>
          <w:kern w:val="2"/>
          <w:sz w:val="21"/>
          <w:szCs w:val="21"/>
          <w:highlight w:val="none"/>
          <w:u w:val="single"/>
        </w:rPr>
        <w:t xml:space="preserve"> </w:t>
      </w:r>
      <w:r>
        <w:rPr>
          <w:rFonts w:hint="eastAsia" w:ascii="宋体" w:hAnsi="宋体" w:eastAsia="宋体" w:cs="宋体"/>
          <w:color w:val="auto"/>
          <w:kern w:val="2"/>
          <w:sz w:val="21"/>
          <w:szCs w:val="21"/>
          <w:highlight w:val="none"/>
          <w:u w:val="single"/>
          <w:lang w:val="en-US" w:eastAsia="zh-CN"/>
        </w:rPr>
        <w:t xml:space="preserve">  </w:t>
      </w:r>
      <w:r>
        <w:rPr>
          <w:rFonts w:hint="eastAsia" w:ascii="宋体" w:hAnsi="宋体" w:eastAsia="宋体" w:cs="宋体"/>
          <w:color w:val="auto"/>
          <w:kern w:val="2"/>
          <w:sz w:val="21"/>
          <w:szCs w:val="21"/>
          <w:highlight w:val="none"/>
          <w:u w:val="single"/>
        </w:rPr>
        <w:t xml:space="preserve">    </w:t>
      </w:r>
      <w:r>
        <w:rPr>
          <w:rFonts w:hint="eastAsia" w:ascii="宋体" w:hAnsi="宋体" w:eastAsia="宋体" w:cs="宋体"/>
          <w:color w:val="auto"/>
          <w:kern w:val="2"/>
          <w:sz w:val="21"/>
          <w:szCs w:val="21"/>
          <w:highlight w:val="none"/>
          <w:u w:val="single"/>
          <w:lang w:val="en-US" w:eastAsia="zh-CN"/>
        </w:rPr>
        <w:t xml:space="preserve"> </w:t>
      </w:r>
      <w:r>
        <w:rPr>
          <w:rFonts w:hint="eastAsia" w:ascii="宋体" w:hAnsi="宋体" w:eastAsia="宋体" w:cs="宋体"/>
          <w:color w:val="auto"/>
          <w:kern w:val="2"/>
          <w:sz w:val="21"/>
          <w:szCs w:val="21"/>
          <w:highlight w:val="none"/>
          <w:u w:val="single"/>
        </w:rPr>
        <w:t xml:space="preserve"> </w:t>
      </w:r>
      <w:r>
        <w:rPr>
          <w:rFonts w:hint="eastAsia" w:ascii="宋体" w:hAnsi="宋体" w:eastAsia="宋体" w:cs="宋体"/>
          <w:color w:val="auto"/>
          <w:kern w:val="2"/>
          <w:sz w:val="21"/>
          <w:szCs w:val="21"/>
          <w:highlight w:val="none"/>
          <w:u w:val="single"/>
          <w:lang w:val="en-US" w:eastAsia="zh-CN"/>
        </w:rPr>
        <w:t xml:space="preserve">       </w:t>
      </w:r>
      <w:r>
        <w:rPr>
          <w:rFonts w:hint="eastAsia" w:ascii="宋体" w:hAnsi="宋体" w:eastAsia="宋体" w:cs="宋体"/>
          <w:color w:val="auto"/>
          <w:kern w:val="2"/>
          <w:sz w:val="21"/>
          <w:szCs w:val="21"/>
          <w:highlight w:val="none"/>
          <w:u w:val="single"/>
        </w:rPr>
        <w:t xml:space="preserve"> </w:t>
      </w:r>
    </w:p>
    <w:p w14:paraId="4D264DDE">
      <w:pPr>
        <w:spacing w:beforeLines="0" w:line="360" w:lineRule="auto"/>
        <w:ind w:firstLine="420" w:firstLineChars="200"/>
        <w:outlineLvl w:val="9"/>
        <w:rPr>
          <w:rFonts w:hint="eastAsia" w:ascii="宋体" w:hAnsi="宋体" w:eastAsia="宋体" w:cs="宋体"/>
          <w:color w:val="auto"/>
          <w:kern w:val="2"/>
          <w:sz w:val="21"/>
          <w:szCs w:val="21"/>
          <w:highlight w:val="none"/>
          <w:u w:val="single"/>
        </w:rPr>
      </w:pPr>
      <w:r>
        <w:rPr>
          <w:rFonts w:hint="eastAsia" w:ascii="宋体" w:hAnsi="宋体" w:eastAsia="宋体" w:cs="宋体"/>
          <w:color w:val="auto"/>
          <w:kern w:val="2"/>
          <w:sz w:val="21"/>
          <w:szCs w:val="21"/>
          <w:highlight w:val="none"/>
        </w:rPr>
        <w:t>传    真：</w:t>
      </w:r>
      <w:r>
        <w:rPr>
          <w:rFonts w:hint="eastAsia" w:ascii="宋体" w:hAnsi="宋体" w:eastAsia="宋体" w:cs="宋体"/>
          <w:color w:val="auto"/>
          <w:kern w:val="2"/>
          <w:sz w:val="21"/>
          <w:szCs w:val="21"/>
          <w:highlight w:val="none"/>
          <w:u w:val="single"/>
        </w:rPr>
        <w:t xml:space="preserve">                       </w:t>
      </w:r>
      <w:r>
        <w:rPr>
          <w:rFonts w:hint="eastAsia" w:ascii="宋体" w:hAnsi="宋体" w:eastAsia="宋体" w:cs="宋体"/>
          <w:color w:val="auto"/>
          <w:kern w:val="2"/>
          <w:sz w:val="21"/>
          <w:szCs w:val="21"/>
          <w:highlight w:val="none"/>
          <w:u w:val="single"/>
          <w:lang w:val="en-US" w:eastAsia="zh-CN"/>
        </w:rPr>
        <w:t xml:space="preserve"> </w:t>
      </w:r>
      <w:r>
        <w:rPr>
          <w:rFonts w:hint="eastAsia" w:ascii="宋体" w:hAnsi="宋体" w:eastAsia="宋体" w:cs="宋体"/>
          <w:color w:val="auto"/>
          <w:kern w:val="2"/>
          <w:sz w:val="21"/>
          <w:szCs w:val="21"/>
          <w:highlight w:val="none"/>
          <w:u w:val="single"/>
        </w:rPr>
        <w:t xml:space="preserve">       </w:t>
      </w:r>
      <w:r>
        <w:rPr>
          <w:rFonts w:hint="eastAsia" w:ascii="宋体" w:hAnsi="宋体" w:eastAsia="宋体" w:cs="宋体"/>
          <w:color w:val="auto"/>
          <w:kern w:val="2"/>
          <w:sz w:val="21"/>
          <w:szCs w:val="21"/>
          <w:highlight w:val="none"/>
          <w:u w:val="single"/>
          <w:lang w:val="en-US" w:eastAsia="zh-CN"/>
        </w:rPr>
        <w:t xml:space="preserve">          </w:t>
      </w:r>
      <w:r>
        <w:rPr>
          <w:rFonts w:hint="eastAsia" w:ascii="宋体" w:hAnsi="宋体" w:eastAsia="宋体" w:cs="宋体"/>
          <w:color w:val="auto"/>
          <w:kern w:val="2"/>
          <w:sz w:val="21"/>
          <w:szCs w:val="21"/>
          <w:highlight w:val="none"/>
          <w:u w:val="single"/>
        </w:rPr>
        <w:t xml:space="preserve"> </w:t>
      </w:r>
    </w:p>
    <w:p w14:paraId="4F637FF3">
      <w:pPr>
        <w:spacing w:beforeLines="0" w:line="360" w:lineRule="auto"/>
        <w:ind w:firstLine="420" w:firstLineChars="200"/>
        <w:jc w:val="left"/>
        <w:outlineLvl w:val="9"/>
        <w:rPr>
          <w:rFonts w:hint="eastAsia" w:ascii="宋体" w:hAnsi="宋体" w:eastAsia="宋体" w:cs="宋体"/>
          <w:color w:val="auto"/>
          <w:sz w:val="21"/>
          <w:szCs w:val="21"/>
          <w:highlight w:val="none"/>
          <w:lang w:eastAsia="zh-CN"/>
        </w:rPr>
      </w:pPr>
      <w:r>
        <w:rPr>
          <w:rFonts w:hint="eastAsia" w:ascii="宋体" w:hAnsi="宋体" w:eastAsia="宋体" w:cs="宋体"/>
          <w:color w:val="auto"/>
          <w:kern w:val="2"/>
          <w:sz w:val="21"/>
          <w:szCs w:val="21"/>
          <w:highlight w:val="none"/>
        </w:rPr>
        <w:t xml:space="preserve">开立时间：    年    月    </w:t>
      </w:r>
      <w:r>
        <w:rPr>
          <w:rFonts w:hint="eastAsia" w:ascii="宋体" w:hAnsi="宋体" w:eastAsia="宋体" w:cs="宋体"/>
          <w:color w:val="auto"/>
          <w:sz w:val="21"/>
          <w:szCs w:val="21"/>
          <w:highlight w:val="none"/>
          <w:lang w:eastAsia="zh-CN"/>
        </w:rPr>
        <w:t>日</w:t>
      </w:r>
    </w:p>
    <w:p w14:paraId="735C661B">
      <w:pPr>
        <w:pStyle w:val="2"/>
        <w:rPr>
          <w:rFonts w:hint="eastAsia" w:ascii="宋体" w:hAnsi="宋体" w:eastAsia="宋体" w:cs="宋体"/>
          <w:color w:val="auto"/>
          <w:sz w:val="21"/>
          <w:szCs w:val="21"/>
          <w:highlight w:val="none"/>
          <w:lang w:eastAsia="zh-CN"/>
        </w:rPr>
      </w:pPr>
    </w:p>
    <w:p w14:paraId="6C8D0812">
      <w:pPr>
        <w:rPr>
          <w:rFonts w:hint="eastAsia"/>
          <w:color w:val="auto"/>
          <w:highlight w:val="none"/>
          <w:lang w:eastAsia="zh-CN"/>
        </w:rPr>
      </w:pPr>
      <w:r>
        <w:rPr>
          <w:rFonts w:hint="eastAsia"/>
          <w:color w:val="auto"/>
          <w:highlight w:val="none"/>
          <w:lang w:eastAsia="zh-CN"/>
        </w:rPr>
        <w:br w:type="page"/>
      </w:r>
    </w:p>
    <w:p w14:paraId="19CF99A9">
      <w:pPr>
        <w:keepNext/>
        <w:keepLines/>
        <w:widowControl/>
        <w:wordWrap w:val="0"/>
        <w:topLinePunct/>
        <w:adjustRightInd w:val="0"/>
        <w:snapToGrid w:val="0"/>
        <w:spacing w:after="156" w:afterLines="50" w:line="360" w:lineRule="auto"/>
        <w:jc w:val="left"/>
        <w:outlineLvl w:val="1"/>
        <w:rPr>
          <w:rFonts w:ascii="宋体" w:hAnsi="宋体" w:cs="宋体"/>
          <w:b/>
          <w:color w:val="auto"/>
          <w:kern w:val="0"/>
          <w:szCs w:val="21"/>
          <w:highlight w:val="none"/>
          <w:lang w:bidi="ar"/>
        </w:rPr>
      </w:pPr>
      <w:bookmarkStart w:id="1508" w:name="_Toc8847"/>
      <w:bookmarkStart w:id="1509" w:name="_Toc12004"/>
      <w:bookmarkStart w:id="1510" w:name="_Toc5445"/>
      <w:r>
        <w:rPr>
          <w:rFonts w:hint="eastAsia" w:ascii="宋体" w:hAnsi="宋体" w:cs="宋体"/>
          <w:b/>
          <w:color w:val="auto"/>
          <w:kern w:val="0"/>
          <w:szCs w:val="21"/>
          <w:highlight w:val="none"/>
          <w:lang w:bidi="ar"/>
        </w:rPr>
        <w:t>附件</w:t>
      </w:r>
      <w:r>
        <w:rPr>
          <w:rFonts w:hint="eastAsia" w:ascii="宋体" w:hAnsi="宋体" w:cs="宋体"/>
          <w:b/>
          <w:color w:val="auto"/>
          <w:kern w:val="0"/>
          <w:szCs w:val="21"/>
          <w:highlight w:val="none"/>
          <w:lang w:val="en-US" w:eastAsia="zh-CN" w:bidi="ar"/>
        </w:rPr>
        <w:t>7</w:t>
      </w:r>
      <w:r>
        <w:rPr>
          <w:rFonts w:hint="eastAsia" w:ascii="宋体" w:hAnsi="宋体" w:cs="宋体"/>
          <w:b/>
          <w:color w:val="auto"/>
          <w:kern w:val="0"/>
          <w:szCs w:val="21"/>
          <w:highlight w:val="none"/>
          <w:lang w:bidi="ar"/>
        </w:rPr>
        <w:t xml:space="preserve"> </w:t>
      </w:r>
      <w:r>
        <w:rPr>
          <w:rFonts w:hint="eastAsia" w:ascii="宋体" w:hAnsi="宋体" w:cs="宋体"/>
          <w:b/>
          <w:color w:val="auto"/>
          <w:kern w:val="0"/>
          <w:szCs w:val="21"/>
          <w:highlight w:val="none"/>
          <w:lang w:eastAsia="zh-CN" w:bidi="ar"/>
        </w:rPr>
        <w:t>质量保证金保函</w:t>
      </w:r>
      <w:r>
        <w:rPr>
          <w:rFonts w:hint="eastAsia" w:ascii="宋体" w:hAnsi="宋体" w:cs="宋体"/>
          <w:b/>
          <w:color w:val="auto"/>
          <w:kern w:val="0"/>
          <w:szCs w:val="21"/>
          <w:highlight w:val="none"/>
          <w:lang w:bidi="ar"/>
        </w:rPr>
        <w:t>（如有）</w:t>
      </w:r>
      <w:bookmarkEnd w:id="1508"/>
      <w:bookmarkEnd w:id="1509"/>
      <w:bookmarkEnd w:id="1510"/>
    </w:p>
    <w:p w14:paraId="7FC26184">
      <w:pPr>
        <w:keepNext w:val="0"/>
        <w:keepLines w:val="0"/>
        <w:pageBreakBefore w:val="0"/>
        <w:kinsoku/>
        <w:overflowPunct/>
        <w:topLinePunct w:val="0"/>
        <w:autoSpaceDE/>
        <w:autoSpaceDN/>
        <w:bidi w:val="0"/>
        <w:adjustRightInd/>
        <w:snapToGrid/>
        <w:spacing w:line="360" w:lineRule="auto"/>
        <w:ind w:right="0" w:rightChars="0"/>
        <w:jc w:val="center"/>
        <w:textAlignment w:val="auto"/>
        <w:rPr>
          <w:rFonts w:hint="eastAsia" w:ascii="宋体" w:hAnsi="宋体" w:eastAsia="宋体" w:cs="宋体"/>
          <w:b w:val="0"/>
          <w:bCs w:val="0"/>
          <w:color w:val="auto"/>
          <w:sz w:val="21"/>
          <w:szCs w:val="21"/>
          <w:highlight w:val="none"/>
        </w:rPr>
      </w:pPr>
      <w:r>
        <w:rPr>
          <w:rFonts w:hint="eastAsia" w:ascii="宋体" w:hAnsi="宋体" w:eastAsia="宋体" w:cs="宋体"/>
          <w:b w:val="0"/>
          <w:bCs w:val="0"/>
          <w:color w:val="auto"/>
          <w:sz w:val="21"/>
          <w:szCs w:val="21"/>
          <w:highlight w:val="none"/>
        </w:rPr>
        <w:t>工程质量保函示范文本</w:t>
      </w:r>
    </w:p>
    <w:p w14:paraId="76B5FC9D">
      <w:pPr>
        <w:keepNext w:val="0"/>
        <w:keepLines w:val="0"/>
        <w:pageBreakBefore w:val="0"/>
        <w:kinsoku/>
        <w:wordWrap w:val="0"/>
        <w:overflowPunct/>
        <w:topLinePunct w:val="0"/>
        <w:autoSpaceDE/>
        <w:autoSpaceDN/>
        <w:bidi w:val="0"/>
        <w:adjustRightInd/>
        <w:snapToGrid/>
        <w:spacing w:line="360" w:lineRule="auto"/>
        <w:ind w:right="0" w:rightChars="0"/>
        <w:jc w:val="right"/>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 xml:space="preserve">        </w:t>
      </w:r>
    </w:p>
    <w:p w14:paraId="27E303F9">
      <w:pPr>
        <w:keepNext w:val="0"/>
        <w:keepLines w:val="0"/>
        <w:pageBreakBefore w:val="0"/>
        <w:shd w:val="clear"/>
        <w:kinsoku/>
        <w:wordWrap/>
        <w:overflowPunct/>
        <w:topLinePunct w:val="0"/>
        <w:autoSpaceDE/>
        <w:autoSpaceDN/>
        <w:bidi w:val="0"/>
        <w:adjustRightInd/>
        <w:snapToGrid/>
        <w:spacing w:beforeLines="0" w:line="360" w:lineRule="auto"/>
        <w:ind w:right="0" w:rightChars="0" w:firstLine="420" w:firstLineChars="200"/>
        <w:textAlignment w:val="auto"/>
        <w:rPr>
          <w:rFonts w:hint="eastAsia" w:ascii="宋体" w:hAnsi="宋体" w:eastAsia="宋体" w:cs="宋体"/>
          <w:color w:val="auto"/>
          <w:kern w:val="2"/>
          <w:sz w:val="21"/>
          <w:szCs w:val="21"/>
          <w:highlight w:val="none"/>
        </w:rPr>
      </w:pPr>
      <w:r>
        <w:rPr>
          <w:rFonts w:hint="eastAsia" w:ascii="宋体" w:hAnsi="宋体" w:eastAsia="宋体" w:cs="宋体"/>
          <w:color w:val="auto"/>
          <w:kern w:val="2"/>
          <w:sz w:val="21"/>
          <w:szCs w:val="21"/>
          <w:highlight w:val="none"/>
        </w:rPr>
        <w:t>申请人：</w:t>
      </w:r>
    </w:p>
    <w:p w14:paraId="1993AC6E">
      <w:pPr>
        <w:keepNext w:val="0"/>
        <w:keepLines w:val="0"/>
        <w:pageBreakBefore w:val="0"/>
        <w:shd w:val="clear"/>
        <w:kinsoku/>
        <w:wordWrap/>
        <w:overflowPunct/>
        <w:topLinePunct w:val="0"/>
        <w:autoSpaceDE/>
        <w:autoSpaceDN/>
        <w:bidi w:val="0"/>
        <w:adjustRightInd/>
        <w:snapToGrid/>
        <w:spacing w:beforeLines="0" w:line="360" w:lineRule="auto"/>
        <w:ind w:right="0" w:rightChars="0" w:firstLine="420" w:firstLineChars="200"/>
        <w:textAlignment w:val="auto"/>
        <w:rPr>
          <w:rFonts w:hint="eastAsia" w:ascii="宋体" w:hAnsi="宋体" w:eastAsia="宋体" w:cs="宋体"/>
          <w:color w:val="auto"/>
          <w:kern w:val="2"/>
          <w:sz w:val="21"/>
          <w:szCs w:val="21"/>
          <w:highlight w:val="none"/>
        </w:rPr>
      </w:pPr>
      <w:r>
        <w:rPr>
          <w:rFonts w:hint="eastAsia" w:ascii="宋体" w:hAnsi="宋体" w:eastAsia="宋体" w:cs="宋体"/>
          <w:color w:val="auto"/>
          <w:kern w:val="2"/>
          <w:sz w:val="21"/>
          <w:szCs w:val="21"/>
          <w:highlight w:val="none"/>
        </w:rPr>
        <w:t>地</w:t>
      </w:r>
      <w:r>
        <w:rPr>
          <w:rFonts w:hint="eastAsia" w:ascii="宋体" w:hAnsi="宋体" w:eastAsia="宋体" w:cs="宋体"/>
          <w:color w:val="auto"/>
          <w:kern w:val="2"/>
          <w:sz w:val="21"/>
          <w:szCs w:val="21"/>
          <w:highlight w:val="none"/>
          <w:lang w:val="en-US" w:eastAsia="zh-CN"/>
        </w:rPr>
        <w:t xml:space="preserve">  </w:t>
      </w:r>
      <w:r>
        <w:rPr>
          <w:rFonts w:hint="eastAsia" w:ascii="宋体" w:hAnsi="宋体" w:eastAsia="宋体" w:cs="宋体"/>
          <w:color w:val="auto"/>
          <w:kern w:val="2"/>
          <w:sz w:val="21"/>
          <w:szCs w:val="21"/>
          <w:highlight w:val="none"/>
        </w:rPr>
        <w:t>址：</w:t>
      </w:r>
    </w:p>
    <w:p w14:paraId="72268B81">
      <w:pPr>
        <w:keepNext w:val="0"/>
        <w:keepLines w:val="0"/>
        <w:pageBreakBefore w:val="0"/>
        <w:shd w:val="clear"/>
        <w:kinsoku/>
        <w:wordWrap/>
        <w:overflowPunct/>
        <w:topLinePunct w:val="0"/>
        <w:autoSpaceDE/>
        <w:autoSpaceDN/>
        <w:bidi w:val="0"/>
        <w:adjustRightInd/>
        <w:snapToGrid/>
        <w:spacing w:beforeLines="0" w:line="360" w:lineRule="auto"/>
        <w:ind w:right="0" w:rightChars="0" w:firstLine="420" w:firstLineChars="200"/>
        <w:textAlignment w:val="auto"/>
        <w:rPr>
          <w:rFonts w:hint="eastAsia" w:ascii="宋体" w:hAnsi="宋体" w:eastAsia="宋体" w:cs="宋体"/>
          <w:color w:val="auto"/>
          <w:kern w:val="2"/>
          <w:sz w:val="21"/>
          <w:szCs w:val="21"/>
          <w:highlight w:val="none"/>
        </w:rPr>
      </w:pPr>
      <w:r>
        <w:rPr>
          <w:rFonts w:hint="eastAsia" w:ascii="宋体" w:hAnsi="宋体" w:eastAsia="宋体" w:cs="宋体"/>
          <w:color w:val="auto"/>
          <w:kern w:val="2"/>
          <w:sz w:val="21"/>
          <w:szCs w:val="21"/>
          <w:highlight w:val="none"/>
        </w:rPr>
        <w:t>受益人：</w:t>
      </w:r>
    </w:p>
    <w:p w14:paraId="7CBBAAD8">
      <w:pPr>
        <w:keepNext w:val="0"/>
        <w:keepLines w:val="0"/>
        <w:pageBreakBefore w:val="0"/>
        <w:shd w:val="clear"/>
        <w:kinsoku/>
        <w:wordWrap/>
        <w:overflowPunct/>
        <w:topLinePunct w:val="0"/>
        <w:autoSpaceDE/>
        <w:autoSpaceDN/>
        <w:bidi w:val="0"/>
        <w:adjustRightInd/>
        <w:snapToGrid/>
        <w:spacing w:beforeLines="0" w:line="360" w:lineRule="auto"/>
        <w:ind w:right="0" w:rightChars="0" w:firstLine="420" w:firstLineChars="200"/>
        <w:textAlignment w:val="auto"/>
        <w:rPr>
          <w:rFonts w:hint="eastAsia" w:ascii="宋体" w:hAnsi="宋体" w:eastAsia="宋体" w:cs="宋体"/>
          <w:color w:val="auto"/>
          <w:kern w:val="2"/>
          <w:sz w:val="21"/>
          <w:szCs w:val="21"/>
          <w:highlight w:val="none"/>
        </w:rPr>
      </w:pPr>
      <w:r>
        <w:rPr>
          <w:rFonts w:hint="eastAsia" w:ascii="宋体" w:hAnsi="宋体" w:eastAsia="宋体" w:cs="宋体"/>
          <w:color w:val="auto"/>
          <w:kern w:val="2"/>
          <w:sz w:val="21"/>
          <w:szCs w:val="21"/>
          <w:highlight w:val="none"/>
        </w:rPr>
        <w:t>地</w:t>
      </w:r>
      <w:r>
        <w:rPr>
          <w:rFonts w:hint="eastAsia" w:ascii="宋体" w:hAnsi="宋体" w:eastAsia="宋体" w:cs="宋体"/>
          <w:color w:val="auto"/>
          <w:kern w:val="2"/>
          <w:sz w:val="21"/>
          <w:szCs w:val="21"/>
          <w:highlight w:val="none"/>
          <w:lang w:val="en-US" w:eastAsia="zh-CN"/>
        </w:rPr>
        <w:t xml:space="preserve">  </w:t>
      </w:r>
      <w:r>
        <w:rPr>
          <w:rFonts w:hint="eastAsia" w:ascii="宋体" w:hAnsi="宋体" w:eastAsia="宋体" w:cs="宋体"/>
          <w:color w:val="auto"/>
          <w:kern w:val="2"/>
          <w:sz w:val="21"/>
          <w:szCs w:val="21"/>
          <w:highlight w:val="none"/>
        </w:rPr>
        <w:t>址：</w:t>
      </w:r>
    </w:p>
    <w:p w14:paraId="2AECFF36">
      <w:pPr>
        <w:keepNext w:val="0"/>
        <w:keepLines w:val="0"/>
        <w:pageBreakBefore w:val="0"/>
        <w:shd w:val="clear"/>
        <w:kinsoku/>
        <w:wordWrap/>
        <w:overflowPunct/>
        <w:topLinePunct w:val="0"/>
        <w:autoSpaceDE/>
        <w:autoSpaceDN/>
        <w:bidi w:val="0"/>
        <w:adjustRightInd/>
        <w:snapToGrid/>
        <w:spacing w:beforeLines="0" w:line="360" w:lineRule="auto"/>
        <w:ind w:right="0" w:rightChars="0" w:firstLine="420" w:firstLineChars="200"/>
        <w:textAlignment w:val="auto"/>
        <w:rPr>
          <w:rFonts w:hint="eastAsia" w:ascii="宋体" w:hAnsi="宋体" w:eastAsia="宋体" w:cs="宋体"/>
          <w:color w:val="auto"/>
          <w:kern w:val="2"/>
          <w:sz w:val="21"/>
          <w:szCs w:val="21"/>
          <w:highlight w:val="none"/>
        </w:rPr>
      </w:pPr>
      <w:r>
        <w:rPr>
          <w:rFonts w:hint="eastAsia" w:ascii="宋体" w:hAnsi="宋体" w:eastAsia="宋体" w:cs="宋体"/>
          <w:color w:val="auto"/>
          <w:kern w:val="2"/>
          <w:sz w:val="21"/>
          <w:szCs w:val="21"/>
          <w:highlight w:val="none"/>
        </w:rPr>
        <w:t>开立人：</w:t>
      </w:r>
    </w:p>
    <w:p w14:paraId="54E18C8F">
      <w:pPr>
        <w:keepNext w:val="0"/>
        <w:keepLines w:val="0"/>
        <w:pageBreakBefore w:val="0"/>
        <w:shd w:val="clear"/>
        <w:kinsoku/>
        <w:wordWrap/>
        <w:overflowPunct/>
        <w:topLinePunct w:val="0"/>
        <w:autoSpaceDE/>
        <w:autoSpaceDN/>
        <w:bidi w:val="0"/>
        <w:adjustRightInd/>
        <w:snapToGrid/>
        <w:spacing w:beforeLines="0" w:line="360" w:lineRule="auto"/>
        <w:ind w:right="0" w:rightChars="0" w:firstLine="420" w:firstLineChars="200"/>
        <w:textAlignment w:val="auto"/>
        <w:rPr>
          <w:rFonts w:hint="eastAsia" w:ascii="宋体" w:hAnsi="宋体" w:eastAsia="宋体" w:cs="宋体"/>
          <w:color w:val="auto"/>
          <w:kern w:val="2"/>
          <w:sz w:val="21"/>
          <w:szCs w:val="21"/>
          <w:highlight w:val="none"/>
        </w:rPr>
      </w:pPr>
      <w:r>
        <w:rPr>
          <w:rFonts w:hint="eastAsia" w:ascii="宋体" w:hAnsi="宋体" w:eastAsia="宋体" w:cs="宋体"/>
          <w:color w:val="auto"/>
          <w:kern w:val="2"/>
          <w:sz w:val="21"/>
          <w:szCs w:val="21"/>
          <w:highlight w:val="none"/>
        </w:rPr>
        <w:t>地</w:t>
      </w:r>
      <w:r>
        <w:rPr>
          <w:rFonts w:hint="eastAsia" w:ascii="宋体" w:hAnsi="宋体" w:eastAsia="宋体" w:cs="宋体"/>
          <w:color w:val="auto"/>
          <w:kern w:val="2"/>
          <w:sz w:val="21"/>
          <w:szCs w:val="21"/>
          <w:highlight w:val="none"/>
          <w:lang w:val="en-US" w:eastAsia="zh-CN"/>
        </w:rPr>
        <w:t xml:space="preserve">  </w:t>
      </w:r>
      <w:r>
        <w:rPr>
          <w:rFonts w:hint="eastAsia" w:ascii="宋体" w:hAnsi="宋体" w:eastAsia="宋体" w:cs="宋体"/>
          <w:color w:val="auto"/>
          <w:kern w:val="2"/>
          <w:sz w:val="21"/>
          <w:szCs w:val="21"/>
          <w:highlight w:val="none"/>
        </w:rPr>
        <w:t>址：</w:t>
      </w:r>
    </w:p>
    <w:p w14:paraId="6DF2B9E5">
      <w:pPr>
        <w:keepNext w:val="0"/>
        <w:keepLines w:val="0"/>
        <w:pageBreakBefore w:val="0"/>
        <w:shd w:val="clear"/>
        <w:kinsoku/>
        <w:wordWrap/>
        <w:overflowPunct/>
        <w:topLinePunct w:val="0"/>
        <w:autoSpaceDE/>
        <w:autoSpaceDN/>
        <w:bidi w:val="0"/>
        <w:adjustRightInd/>
        <w:snapToGrid/>
        <w:spacing w:beforeLines="0" w:line="360" w:lineRule="auto"/>
        <w:ind w:right="0" w:rightChars="0"/>
        <w:textAlignment w:val="auto"/>
        <w:rPr>
          <w:rFonts w:hint="eastAsia" w:ascii="宋体" w:hAnsi="宋体" w:eastAsia="宋体" w:cs="宋体"/>
          <w:color w:val="auto"/>
          <w:kern w:val="2"/>
          <w:sz w:val="21"/>
          <w:szCs w:val="21"/>
          <w:highlight w:val="none"/>
        </w:rPr>
      </w:pPr>
    </w:p>
    <w:p w14:paraId="7D4792FE">
      <w:pPr>
        <w:keepNext w:val="0"/>
        <w:keepLines w:val="0"/>
        <w:pageBreakBefore w:val="0"/>
        <w:shd w:val="clear"/>
        <w:kinsoku/>
        <w:wordWrap/>
        <w:overflowPunct/>
        <w:topLinePunct w:val="0"/>
        <w:autoSpaceDE/>
        <w:autoSpaceDN/>
        <w:bidi w:val="0"/>
        <w:adjustRightInd/>
        <w:snapToGrid/>
        <w:spacing w:beforeLines="0" w:line="360" w:lineRule="auto"/>
        <w:ind w:right="0" w:rightChars="0"/>
        <w:textAlignment w:val="auto"/>
        <w:rPr>
          <w:rFonts w:hint="eastAsia" w:ascii="宋体" w:hAnsi="宋体" w:eastAsia="宋体" w:cs="宋体"/>
          <w:color w:val="auto"/>
          <w:kern w:val="2"/>
          <w:sz w:val="21"/>
          <w:szCs w:val="21"/>
          <w:highlight w:val="none"/>
        </w:rPr>
      </w:pPr>
      <w:r>
        <w:rPr>
          <w:rFonts w:hint="eastAsia" w:ascii="宋体" w:hAnsi="宋体" w:eastAsia="宋体" w:cs="宋体"/>
          <w:color w:val="auto"/>
          <w:kern w:val="2"/>
          <w:sz w:val="21"/>
          <w:szCs w:val="21"/>
          <w:highlight w:val="none"/>
          <w:u w:val="single"/>
        </w:rPr>
        <w:t xml:space="preserve">              </w:t>
      </w:r>
      <w:r>
        <w:rPr>
          <w:rFonts w:hint="eastAsia" w:ascii="宋体" w:hAnsi="宋体" w:eastAsia="宋体" w:cs="宋体"/>
          <w:color w:val="auto"/>
          <w:kern w:val="2"/>
          <w:sz w:val="21"/>
          <w:szCs w:val="21"/>
          <w:highlight w:val="none"/>
        </w:rPr>
        <w:t xml:space="preserve">（受益人名称）： </w:t>
      </w:r>
    </w:p>
    <w:p w14:paraId="58904845">
      <w:pPr>
        <w:keepNext w:val="0"/>
        <w:keepLines w:val="0"/>
        <w:pageBreakBefore w:val="0"/>
        <w:shd w:val="clear"/>
        <w:kinsoku/>
        <w:wordWrap/>
        <w:overflowPunct w:val="0"/>
        <w:topLinePunct w:val="0"/>
        <w:autoSpaceDE/>
        <w:autoSpaceDN/>
        <w:bidi w:val="0"/>
        <w:adjustRightInd/>
        <w:snapToGrid/>
        <w:spacing w:beforeLines="0" w:line="360" w:lineRule="auto"/>
        <w:ind w:right="0" w:rightChars="0" w:firstLine="420" w:firstLineChars="200"/>
        <w:textAlignment w:val="auto"/>
        <w:rPr>
          <w:rFonts w:hint="eastAsia" w:ascii="宋体" w:hAnsi="宋体" w:eastAsia="宋体" w:cs="宋体"/>
          <w:color w:val="auto"/>
          <w:kern w:val="2"/>
          <w:sz w:val="21"/>
          <w:szCs w:val="21"/>
          <w:highlight w:val="none"/>
        </w:rPr>
      </w:pPr>
      <w:r>
        <w:rPr>
          <w:rFonts w:hint="eastAsia" w:ascii="宋体" w:hAnsi="宋体" w:eastAsia="宋体" w:cs="宋体"/>
          <w:color w:val="auto"/>
          <w:kern w:val="2"/>
          <w:sz w:val="21"/>
          <w:szCs w:val="21"/>
          <w:highlight w:val="none"/>
        </w:rPr>
        <w:t>鉴于</w:t>
      </w:r>
      <w:r>
        <w:rPr>
          <w:rFonts w:hint="eastAsia" w:ascii="宋体" w:hAnsi="宋体" w:eastAsia="宋体" w:cs="宋体"/>
          <w:color w:val="auto"/>
          <w:kern w:val="2"/>
          <w:sz w:val="21"/>
          <w:szCs w:val="21"/>
          <w:highlight w:val="none"/>
          <w:u w:val="single"/>
        </w:rPr>
        <w:t xml:space="preserve">      </w:t>
      </w:r>
      <w:r>
        <w:rPr>
          <w:rFonts w:hint="eastAsia" w:ascii="宋体" w:hAnsi="宋体" w:eastAsia="宋体" w:cs="宋体"/>
          <w:color w:val="auto"/>
          <w:kern w:val="2"/>
          <w:sz w:val="21"/>
          <w:szCs w:val="21"/>
          <w:highlight w:val="none"/>
          <w:u w:val="single"/>
          <w:lang w:val="en-US" w:eastAsia="zh-CN"/>
        </w:rPr>
        <w:t xml:space="preserve">  </w:t>
      </w:r>
      <w:r>
        <w:rPr>
          <w:rFonts w:hint="eastAsia" w:ascii="宋体" w:hAnsi="宋体" w:eastAsia="宋体" w:cs="宋体"/>
          <w:color w:val="auto"/>
          <w:kern w:val="2"/>
          <w:sz w:val="21"/>
          <w:szCs w:val="21"/>
          <w:highlight w:val="none"/>
          <w:u w:val="single"/>
        </w:rPr>
        <w:t xml:space="preserve">  </w:t>
      </w:r>
      <w:r>
        <w:rPr>
          <w:rFonts w:hint="eastAsia" w:ascii="宋体" w:hAnsi="宋体" w:eastAsia="宋体" w:cs="宋体"/>
          <w:color w:val="auto"/>
          <w:kern w:val="2"/>
          <w:sz w:val="21"/>
          <w:szCs w:val="21"/>
          <w:highlight w:val="none"/>
        </w:rPr>
        <w:t>（以下简称“受益人”）与</w:t>
      </w:r>
      <w:r>
        <w:rPr>
          <w:rFonts w:hint="eastAsia" w:ascii="宋体" w:hAnsi="宋体" w:eastAsia="宋体" w:cs="宋体"/>
          <w:color w:val="auto"/>
          <w:kern w:val="2"/>
          <w:sz w:val="21"/>
          <w:szCs w:val="21"/>
          <w:highlight w:val="none"/>
          <w:u w:val="single"/>
        </w:rPr>
        <w:t xml:space="preserve">         </w:t>
      </w:r>
      <w:r>
        <w:rPr>
          <w:rFonts w:hint="eastAsia" w:ascii="宋体" w:hAnsi="宋体" w:eastAsia="宋体" w:cs="宋体"/>
          <w:color w:val="auto"/>
          <w:kern w:val="2"/>
          <w:sz w:val="21"/>
          <w:szCs w:val="21"/>
          <w:highlight w:val="none"/>
        </w:rPr>
        <w:t>（以下简称“申请人”）于</w:t>
      </w:r>
      <w:r>
        <w:rPr>
          <w:rFonts w:hint="eastAsia" w:ascii="宋体" w:hAnsi="宋体" w:eastAsia="宋体" w:cs="宋体"/>
          <w:color w:val="auto"/>
          <w:kern w:val="2"/>
          <w:sz w:val="21"/>
          <w:szCs w:val="21"/>
          <w:highlight w:val="none"/>
          <w:u w:val="single"/>
        </w:rPr>
        <w:t xml:space="preserve">   </w:t>
      </w:r>
      <w:r>
        <w:rPr>
          <w:rFonts w:hint="eastAsia" w:ascii="宋体" w:hAnsi="宋体" w:eastAsia="宋体" w:cs="宋体"/>
          <w:color w:val="auto"/>
          <w:kern w:val="2"/>
          <w:sz w:val="21"/>
          <w:szCs w:val="21"/>
          <w:highlight w:val="none"/>
        </w:rPr>
        <w:t>年</w:t>
      </w:r>
      <w:r>
        <w:rPr>
          <w:rFonts w:hint="eastAsia" w:ascii="宋体" w:hAnsi="宋体" w:eastAsia="宋体" w:cs="宋体"/>
          <w:color w:val="auto"/>
          <w:kern w:val="2"/>
          <w:sz w:val="21"/>
          <w:szCs w:val="21"/>
          <w:highlight w:val="none"/>
          <w:u w:val="single"/>
        </w:rPr>
        <w:t xml:space="preserve">   </w:t>
      </w:r>
      <w:r>
        <w:rPr>
          <w:rFonts w:hint="eastAsia" w:ascii="宋体" w:hAnsi="宋体" w:eastAsia="宋体" w:cs="宋体"/>
          <w:color w:val="auto"/>
          <w:kern w:val="2"/>
          <w:sz w:val="21"/>
          <w:szCs w:val="21"/>
          <w:highlight w:val="none"/>
        </w:rPr>
        <w:t>月</w:t>
      </w:r>
      <w:r>
        <w:rPr>
          <w:rFonts w:hint="eastAsia" w:ascii="宋体" w:hAnsi="宋体" w:eastAsia="宋体" w:cs="宋体"/>
          <w:color w:val="auto"/>
          <w:kern w:val="2"/>
          <w:sz w:val="21"/>
          <w:szCs w:val="21"/>
          <w:highlight w:val="none"/>
          <w:u w:val="single"/>
        </w:rPr>
        <w:t xml:space="preserve">   </w:t>
      </w:r>
      <w:r>
        <w:rPr>
          <w:rFonts w:hint="eastAsia" w:ascii="宋体" w:hAnsi="宋体" w:eastAsia="宋体" w:cs="宋体"/>
          <w:color w:val="auto"/>
          <w:kern w:val="2"/>
          <w:sz w:val="21"/>
          <w:szCs w:val="21"/>
          <w:highlight w:val="none"/>
        </w:rPr>
        <w:t>日就</w:t>
      </w:r>
      <w:r>
        <w:rPr>
          <w:rFonts w:hint="eastAsia" w:ascii="宋体" w:hAnsi="宋体" w:eastAsia="宋体" w:cs="宋体"/>
          <w:color w:val="auto"/>
          <w:kern w:val="2"/>
          <w:sz w:val="21"/>
          <w:szCs w:val="21"/>
          <w:highlight w:val="none"/>
          <w:u w:val="single"/>
        </w:rPr>
        <w:t xml:space="preserve">           </w:t>
      </w:r>
      <w:r>
        <w:rPr>
          <w:rFonts w:hint="eastAsia" w:ascii="宋体" w:hAnsi="宋体" w:eastAsia="宋体" w:cs="宋体"/>
          <w:color w:val="auto"/>
          <w:kern w:val="2"/>
          <w:sz w:val="21"/>
          <w:szCs w:val="21"/>
          <w:highlight w:val="none"/>
        </w:rPr>
        <w:t>工程（以下简称“本工程”）施工和有关事项协商一致共同签订</w:t>
      </w:r>
      <w:r>
        <w:rPr>
          <w:rFonts w:hint="eastAsia" w:ascii="宋体" w:hAnsi="宋体" w:eastAsia="宋体" w:cs="宋体"/>
          <w:color w:val="auto"/>
          <w:kern w:val="2"/>
          <w:sz w:val="21"/>
          <w:szCs w:val="21"/>
          <w:highlight w:val="none"/>
          <w:u w:val="single"/>
        </w:rPr>
        <w:t xml:space="preserve">《     </w:t>
      </w:r>
      <w:r>
        <w:rPr>
          <w:rFonts w:hint="eastAsia" w:ascii="宋体" w:hAnsi="宋体" w:eastAsia="宋体" w:cs="宋体"/>
          <w:color w:val="auto"/>
          <w:kern w:val="2"/>
          <w:sz w:val="21"/>
          <w:szCs w:val="21"/>
          <w:highlight w:val="none"/>
          <w:u w:val="single"/>
          <w:lang w:val="en-US" w:eastAsia="zh-CN"/>
        </w:rPr>
        <w:t xml:space="preserve"> </w:t>
      </w:r>
      <w:r>
        <w:rPr>
          <w:rFonts w:hint="eastAsia" w:ascii="宋体" w:hAnsi="宋体" w:eastAsia="宋体" w:cs="宋体"/>
          <w:color w:val="auto"/>
          <w:kern w:val="2"/>
          <w:sz w:val="21"/>
          <w:szCs w:val="21"/>
          <w:highlight w:val="none"/>
          <w:u w:val="single"/>
        </w:rPr>
        <w:t xml:space="preserve">   》</w:t>
      </w:r>
      <w:r>
        <w:rPr>
          <w:rFonts w:hint="eastAsia" w:ascii="宋体" w:hAnsi="宋体" w:eastAsia="宋体" w:cs="宋体"/>
          <w:color w:val="auto"/>
          <w:kern w:val="2"/>
          <w:sz w:val="21"/>
          <w:szCs w:val="21"/>
          <w:highlight w:val="none"/>
        </w:rPr>
        <w:t>（合同名称）合同编号</w:t>
      </w:r>
      <w:r>
        <w:rPr>
          <w:rFonts w:hint="eastAsia" w:ascii="宋体" w:hAnsi="宋体" w:eastAsia="宋体" w:cs="宋体"/>
          <w:color w:val="auto"/>
          <w:kern w:val="2"/>
          <w:sz w:val="21"/>
          <w:szCs w:val="21"/>
          <w:highlight w:val="none"/>
          <w:u w:val="single"/>
        </w:rPr>
        <w:t xml:space="preserve">   </w:t>
      </w:r>
      <w:r>
        <w:rPr>
          <w:rFonts w:hint="eastAsia" w:ascii="宋体" w:hAnsi="宋体" w:eastAsia="宋体" w:cs="宋体"/>
          <w:color w:val="auto"/>
          <w:kern w:val="2"/>
          <w:sz w:val="21"/>
          <w:szCs w:val="21"/>
          <w:highlight w:val="none"/>
          <w:u w:val="single"/>
          <w:lang w:val="en-US" w:eastAsia="zh-CN"/>
        </w:rPr>
        <w:t xml:space="preserve">   </w:t>
      </w:r>
      <w:r>
        <w:rPr>
          <w:rFonts w:hint="eastAsia" w:ascii="宋体" w:hAnsi="宋体" w:eastAsia="宋体" w:cs="宋体"/>
          <w:color w:val="auto"/>
          <w:kern w:val="2"/>
          <w:sz w:val="21"/>
          <w:szCs w:val="21"/>
          <w:highlight w:val="none"/>
          <w:u w:val="single"/>
        </w:rPr>
        <w:t xml:space="preserve"> </w:t>
      </w:r>
      <w:r>
        <w:rPr>
          <w:rFonts w:hint="eastAsia" w:ascii="宋体" w:hAnsi="宋体" w:eastAsia="宋体" w:cs="宋体"/>
          <w:color w:val="auto"/>
          <w:kern w:val="2"/>
          <w:sz w:val="21"/>
          <w:szCs w:val="21"/>
          <w:highlight w:val="none"/>
        </w:rPr>
        <w:t>，我方（即“开立人”）根据上述合同了解到申请人为合同项下之承包人，受益人为合同项下之发包人，基于申请人的请求，我方同意就申请人履行与贵方签订的合同项下的义务，向贵方提供不可撤销、不可转让的见索即付保函（以下简称“本保函”）。</w:t>
      </w:r>
    </w:p>
    <w:p w14:paraId="6A01B915">
      <w:pPr>
        <w:keepNext w:val="0"/>
        <w:keepLines w:val="0"/>
        <w:pageBreakBefore w:val="0"/>
        <w:shd w:val="clear"/>
        <w:kinsoku/>
        <w:wordWrap/>
        <w:overflowPunct w:val="0"/>
        <w:topLinePunct w:val="0"/>
        <w:autoSpaceDE/>
        <w:autoSpaceDN/>
        <w:bidi w:val="0"/>
        <w:adjustRightInd/>
        <w:snapToGrid/>
        <w:spacing w:beforeLines="0" w:line="360" w:lineRule="auto"/>
        <w:ind w:right="0" w:rightChars="0" w:firstLine="420" w:firstLineChars="200"/>
        <w:textAlignment w:val="auto"/>
        <w:rPr>
          <w:rFonts w:hint="eastAsia" w:ascii="宋体" w:hAnsi="宋体" w:eastAsia="宋体" w:cs="宋体"/>
          <w:color w:val="auto"/>
          <w:kern w:val="2"/>
          <w:sz w:val="21"/>
          <w:szCs w:val="21"/>
          <w:highlight w:val="none"/>
        </w:rPr>
      </w:pPr>
      <w:r>
        <w:rPr>
          <w:rFonts w:hint="eastAsia" w:ascii="宋体" w:hAnsi="宋体" w:eastAsia="宋体" w:cs="宋体"/>
          <w:color w:val="auto"/>
          <w:kern w:val="2"/>
          <w:sz w:val="21"/>
          <w:szCs w:val="21"/>
          <w:highlight w:val="none"/>
        </w:rPr>
        <w:t>一、本保函担保范围：承包人未按照合同约定履行工程缺陷责任期内的保修义务，应当向贵方承担的违约责任和赔偿因此造成的损失、利息、律师费、诉讼费用等实现债权的费用。</w:t>
      </w:r>
    </w:p>
    <w:p w14:paraId="4A77BC75">
      <w:pPr>
        <w:keepNext w:val="0"/>
        <w:keepLines w:val="0"/>
        <w:pageBreakBefore w:val="0"/>
        <w:shd w:val="clear"/>
        <w:kinsoku/>
        <w:wordWrap/>
        <w:overflowPunct w:val="0"/>
        <w:topLinePunct w:val="0"/>
        <w:autoSpaceDE/>
        <w:autoSpaceDN/>
        <w:bidi w:val="0"/>
        <w:adjustRightInd/>
        <w:snapToGrid/>
        <w:spacing w:beforeLines="0" w:line="360" w:lineRule="auto"/>
        <w:ind w:right="0" w:rightChars="0" w:firstLine="420" w:firstLineChars="200"/>
        <w:textAlignment w:val="auto"/>
        <w:rPr>
          <w:rFonts w:hint="eastAsia" w:ascii="宋体" w:hAnsi="宋体" w:eastAsia="宋体" w:cs="宋体"/>
          <w:color w:val="auto"/>
          <w:kern w:val="2"/>
          <w:sz w:val="21"/>
          <w:szCs w:val="21"/>
          <w:highlight w:val="none"/>
        </w:rPr>
      </w:pPr>
      <w:r>
        <w:rPr>
          <w:rFonts w:hint="eastAsia" w:ascii="宋体" w:hAnsi="宋体" w:eastAsia="宋体" w:cs="宋体"/>
          <w:color w:val="auto"/>
          <w:kern w:val="2"/>
          <w:sz w:val="21"/>
          <w:szCs w:val="21"/>
          <w:highlight w:val="none"/>
        </w:rPr>
        <w:t>二、本保函担保金额最高不超过人民币（大写）</w:t>
      </w:r>
      <w:r>
        <w:rPr>
          <w:rFonts w:hint="eastAsia" w:ascii="宋体" w:hAnsi="宋体" w:eastAsia="宋体" w:cs="宋体"/>
          <w:color w:val="auto"/>
          <w:kern w:val="2"/>
          <w:sz w:val="21"/>
          <w:szCs w:val="21"/>
          <w:highlight w:val="none"/>
          <w:u w:val="single"/>
        </w:rPr>
        <w:t xml:space="preserve">      </w:t>
      </w:r>
      <w:r>
        <w:rPr>
          <w:rFonts w:hint="eastAsia" w:ascii="宋体" w:hAnsi="宋体" w:eastAsia="宋体" w:cs="宋体"/>
          <w:color w:val="auto"/>
          <w:kern w:val="2"/>
          <w:sz w:val="21"/>
          <w:szCs w:val="21"/>
          <w:highlight w:val="none"/>
        </w:rPr>
        <w:t>元（¥</w:t>
      </w:r>
      <w:r>
        <w:rPr>
          <w:rFonts w:hint="eastAsia" w:ascii="宋体" w:hAnsi="宋体" w:eastAsia="宋体" w:cs="宋体"/>
          <w:color w:val="auto"/>
          <w:kern w:val="2"/>
          <w:sz w:val="21"/>
          <w:szCs w:val="21"/>
          <w:highlight w:val="none"/>
          <w:u w:val="single"/>
        </w:rPr>
        <w:t xml:space="preserve">       </w:t>
      </w:r>
      <w:r>
        <w:rPr>
          <w:rFonts w:hint="eastAsia" w:ascii="宋体" w:hAnsi="宋体" w:eastAsia="宋体" w:cs="宋体"/>
          <w:color w:val="auto"/>
          <w:kern w:val="2"/>
          <w:sz w:val="21"/>
          <w:szCs w:val="21"/>
          <w:highlight w:val="none"/>
        </w:rPr>
        <w:t>）。</w:t>
      </w:r>
    </w:p>
    <w:p w14:paraId="0ACAF101">
      <w:pPr>
        <w:keepNext w:val="0"/>
        <w:keepLines w:val="0"/>
        <w:pageBreakBefore w:val="0"/>
        <w:shd w:val="clear"/>
        <w:kinsoku/>
        <w:wordWrap/>
        <w:overflowPunct w:val="0"/>
        <w:topLinePunct w:val="0"/>
        <w:autoSpaceDE/>
        <w:autoSpaceDN/>
        <w:bidi w:val="0"/>
        <w:adjustRightInd/>
        <w:snapToGrid/>
        <w:spacing w:beforeLines="0" w:line="360" w:lineRule="auto"/>
        <w:ind w:right="0" w:rightChars="0" w:firstLine="420" w:firstLineChars="200"/>
        <w:textAlignment w:val="auto"/>
        <w:rPr>
          <w:rFonts w:hint="eastAsia" w:ascii="宋体" w:hAnsi="宋体" w:eastAsia="宋体" w:cs="宋体"/>
          <w:color w:val="auto"/>
          <w:kern w:val="2"/>
          <w:sz w:val="21"/>
          <w:szCs w:val="21"/>
          <w:highlight w:val="none"/>
        </w:rPr>
      </w:pPr>
      <w:r>
        <w:rPr>
          <w:rFonts w:hint="eastAsia" w:ascii="宋体" w:hAnsi="宋体" w:eastAsia="宋体" w:cs="宋体"/>
          <w:color w:val="auto"/>
          <w:kern w:val="2"/>
          <w:sz w:val="21"/>
          <w:szCs w:val="21"/>
          <w:highlight w:val="none"/>
        </w:rPr>
        <w:t>三、本保函有效期（保证期间）为以下第</w:t>
      </w:r>
      <w:r>
        <w:rPr>
          <w:rFonts w:hint="eastAsia" w:ascii="宋体" w:hAnsi="宋体" w:eastAsia="宋体" w:cs="宋体"/>
          <w:color w:val="auto"/>
          <w:kern w:val="2"/>
          <w:sz w:val="21"/>
          <w:szCs w:val="21"/>
          <w:highlight w:val="none"/>
          <w:u w:val="single"/>
        </w:rPr>
        <w:t xml:space="preserve">      </w:t>
      </w:r>
      <w:r>
        <w:rPr>
          <w:rFonts w:hint="eastAsia" w:ascii="宋体" w:hAnsi="宋体" w:eastAsia="宋体" w:cs="宋体"/>
          <w:color w:val="auto"/>
          <w:kern w:val="2"/>
          <w:sz w:val="21"/>
          <w:szCs w:val="21"/>
          <w:highlight w:val="none"/>
        </w:rPr>
        <w:t>种：</w:t>
      </w:r>
    </w:p>
    <w:p w14:paraId="5B335D4E">
      <w:pPr>
        <w:keepNext w:val="0"/>
        <w:keepLines w:val="0"/>
        <w:pageBreakBefore w:val="0"/>
        <w:shd w:val="clear"/>
        <w:kinsoku/>
        <w:wordWrap/>
        <w:overflowPunct w:val="0"/>
        <w:topLinePunct w:val="0"/>
        <w:autoSpaceDE/>
        <w:autoSpaceDN/>
        <w:bidi w:val="0"/>
        <w:adjustRightInd/>
        <w:snapToGrid/>
        <w:spacing w:beforeLines="0" w:line="360" w:lineRule="auto"/>
        <w:ind w:right="0" w:rightChars="0" w:firstLine="420" w:firstLineChars="200"/>
        <w:textAlignment w:val="auto"/>
        <w:rPr>
          <w:rFonts w:hint="eastAsia" w:ascii="宋体" w:hAnsi="宋体" w:eastAsia="宋体" w:cs="宋体"/>
          <w:color w:val="auto"/>
          <w:kern w:val="2"/>
          <w:sz w:val="21"/>
          <w:szCs w:val="21"/>
          <w:highlight w:val="none"/>
        </w:rPr>
      </w:pPr>
      <w:r>
        <w:rPr>
          <w:rFonts w:hint="eastAsia" w:ascii="宋体" w:hAnsi="宋体" w:eastAsia="宋体" w:cs="宋体"/>
          <w:color w:val="auto"/>
          <w:kern w:val="2"/>
          <w:sz w:val="21"/>
          <w:szCs w:val="21"/>
          <w:highlight w:val="none"/>
          <w:lang w:eastAsia="zh-CN"/>
        </w:rPr>
        <w:t>（</w:t>
      </w:r>
      <w:r>
        <w:rPr>
          <w:rFonts w:hint="eastAsia" w:ascii="宋体" w:hAnsi="宋体" w:eastAsia="宋体" w:cs="宋体"/>
          <w:color w:val="auto"/>
          <w:kern w:val="2"/>
          <w:sz w:val="21"/>
          <w:szCs w:val="21"/>
          <w:highlight w:val="none"/>
          <w:lang w:val="en-US" w:eastAsia="zh-CN"/>
        </w:rPr>
        <w:t>1</w:t>
      </w:r>
      <w:r>
        <w:rPr>
          <w:rFonts w:hint="eastAsia" w:ascii="宋体" w:hAnsi="宋体" w:eastAsia="宋体" w:cs="宋体"/>
          <w:color w:val="auto"/>
          <w:kern w:val="2"/>
          <w:sz w:val="21"/>
          <w:szCs w:val="21"/>
          <w:highlight w:val="none"/>
          <w:lang w:eastAsia="zh-CN"/>
        </w:rPr>
        <w:t>）</w:t>
      </w:r>
      <w:r>
        <w:rPr>
          <w:rFonts w:hint="eastAsia" w:ascii="宋体" w:hAnsi="宋体" w:eastAsia="宋体" w:cs="宋体"/>
          <w:color w:val="auto"/>
          <w:kern w:val="2"/>
          <w:sz w:val="21"/>
          <w:szCs w:val="21"/>
          <w:highlight w:val="none"/>
        </w:rPr>
        <w:t>本保函有效期至</w:t>
      </w:r>
      <w:r>
        <w:rPr>
          <w:rFonts w:hint="eastAsia" w:ascii="宋体" w:hAnsi="宋体" w:eastAsia="宋体" w:cs="宋体"/>
          <w:color w:val="auto"/>
          <w:kern w:val="2"/>
          <w:sz w:val="21"/>
          <w:szCs w:val="21"/>
          <w:highlight w:val="none"/>
          <w:u w:val="single"/>
        </w:rPr>
        <w:t xml:space="preserve">    </w:t>
      </w:r>
      <w:r>
        <w:rPr>
          <w:rFonts w:hint="eastAsia" w:ascii="宋体" w:hAnsi="宋体" w:eastAsia="宋体" w:cs="宋体"/>
          <w:color w:val="auto"/>
          <w:kern w:val="2"/>
          <w:sz w:val="21"/>
          <w:szCs w:val="21"/>
          <w:highlight w:val="none"/>
        </w:rPr>
        <w:t>年</w:t>
      </w:r>
      <w:r>
        <w:rPr>
          <w:rFonts w:hint="eastAsia" w:ascii="宋体" w:hAnsi="宋体" w:eastAsia="宋体" w:cs="宋体"/>
          <w:color w:val="auto"/>
          <w:kern w:val="2"/>
          <w:sz w:val="21"/>
          <w:szCs w:val="21"/>
          <w:highlight w:val="none"/>
          <w:u w:val="single"/>
        </w:rPr>
        <w:t xml:space="preserve">    </w:t>
      </w:r>
      <w:r>
        <w:rPr>
          <w:rFonts w:hint="eastAsia" w:ascii="宋体" w:hAnsi="宋体" w:eastAsia="宋体" w:cs="宋体"/>
          <w:color w:val="auto"/>
          <w:kern w:val="2"/>
          <w:sz w:val="21"/>
          <w:szCs w:val="21"/>
          <w:highlight w:val="none"/>
        </w:rPr>
        <w:t>月</w:t>
      </w:r>
      <w:r>
        <w:rPr>
          <w:rFonts w:hint="eastAsia" w:ascii="宋体" w:hAnsi="宋体" w:eastAsia="宋体" w:cs="宋体"/>
          <w:color w:val="auto"/>
          <w:kern w:val="2"/>
          <w:sz w:val="21"/>
          <w:szCs w:val="21"/>
          <w:highlight w:val="none"/>
          <w:u w:val="single"/>
        </w:rPr>
        <w:t xml:space="preserve">    </w:t>
      </w:r>
      <w:r>
        <w:rPr>
          <w:rFonts w:hint="eastAsia" w:ascii="宋体" w:hAnsi="宋体" w:eastAsia="宋体" w:cs="宋体"/>
          <w:color w:val="auto"/>
          <w:kern w:val="2"/>
          <w:sz w:val="21"/>
          <w:szCs w:val="21"/>
          <w:highlight w:val="none"/>
        </w:rPr>
        <w:t>日。</w:t>
      </w:r>
    </w:p>
    <w:p w14:paraId="78C28FC9">
      <w:pPr>
        <w:keepNext w:val="0"/>
        <w:keepLines w:val="0"/>
        <w:pageBreakBefore w:val="0"/>
        <w:shd w:val="clear"/>
        <w:kinsoku/>
        <w:wordWrap/>
        <w:overflowPunct w:val="0"/>
        <w:topLinePunct w:val="0"/>
        <w:autoSpaceDE/>
        <w:autoSpaceDN/>
        <w:bidi w:val="0"/>
        <w:adjustRightInd/>
        <w:snapToGrid/>
        <w:spacing w:beforeLines="0" w:line="360" w:lineRule="auto"/>
        <w:ind w:right="0" w:rightChars="0" w:firstLine="420" w:firstLineChars="200"/>
        <w:textAlignment w:val="auto"/>
        <w:rPr>
          <w:rFonts w:hint="eastAsia" w:ascii="宋体" w:hAnsi="宋体" w:eastAsia="宋体" w:cs="宋体"/>
          <w:color w:val="auto"/>
          <w:kern w:val="2"/>
          <w:sz w:val="21"/>
          <w:szCs w:val="21"/>
          <w:highlight w:val="none"/>
        </w:rPr>
      </w:pPr>
      <w:r>
        <w:rPr>
          <w:rFonts w:hint="eastAsia" w:ascii="宋体" w:hAnsi="宋体" w:eastAsia="宋体" w:cs="宋体"/>
          <w:color w:val="auto"/>
          <w:kern w:val="2"/>
          <w:sz w:val="21"/>
          <w:szCs w:val="21"/>
          <w:highlight w:val="none"/>
          <w:lang w:eastAsia="zh-CN"/>
        </w:rPr>
        <w:t>（</w:t>
      </w:r>
      <w:r>
        <w:rPr>
          <w:rFonts w:hint="eastAsia" w:ascii="宋体" w:hAnsi="宋体" w:eastAsia="宋体" w:cs="宋体"/>
          <w:color w:val="auto"/>
          <w:kern w:val="2"/>
          <w:sz w:val="21"/>
          <w:szCs w:val="21"/>
          <w:highlight w:val="none"/>
          <w:lang w:val="en-US" w:eastAsia="zh-CN"/>
        </w:rPr>
        <w:t>2</w:t>
      </w:r>
      <w:r>
        <w:rPr>
          <w:rFonts w:hint="eastAsia" w:ascii="宋体" w:hAnsi="宋体" w:eastAsia="宋体" w:cs="宋体"/>
          <w:color w:val="auto"/>
          <w:kern w:val="2"/>
          <w:sz w:val="21"/>
          <w:szCs w:val="21"/>
          <w:highlight w:val="none"/>
          <w:lang w:eastAsia="zh-CN"/>
        </w:rPr>
        <w:t>）</w:t>
      </w:r>
      <w:r>
        <w:rPr>
          <w:rFonts w:hint="eastAsia" w:ascii="宋体" w:hAnsi="宋体" w:eastAsia="宋体" w:cs="宋体"/>
          <w:color w:val="auto"/>
          <w:kern w:val="2"/>
          <w:sz w:val="21"/>
          <w:szCs w:val="21"/>
          <w:highlight w:val="none"/>
          <w:u w:val="single"/>
        </w:rPr>
        <w:t xml:space="preserve">                                   </w:t>
      </w:r>
      <w:r>
        <w:rPr>
          <w:rFonts w:hint="eastAsia" w:ascii="宋体" w:hAnsi="宋体" w:eastAsia="宋体" w:cs="宋体"/>
          <w:color w:val="auto"/>
          <w:kern w:val="2"/>
          <w:sz w:val="21"/>
          <w:szCs w:val="21"/>
          <w:highlight w:val="none"/>
        </w:rPr>
        <w:t>。</w:t>
      </w:r>
    </w:p>
    <w:p w14:paraId="6411B199">
      <w:pPr>
        <w:keepNext w:val="0"/>
        <w:keepLines w:val="0"/>
        <w:pageBreakBefore w:val="0"/>
        <w:shd w:val="clear"/>
        <w:kinsoku/>
        <w:wordWrap/>
        <w:overflowPunct w:val="0"/>
        <w:topLinePunct w:val="0"/>
        <w:autoSpaceDE/>
        <w:autoSpaceDN/>
        <w:bidi w:val="0"/>
        <w:adjustRightInd/>
        <w:snapToGrid/>
        <w:spacing w:beforeLines="0" w:line="360" w:lineRule="auto"/>
        <w:ind w:right="0" w:rightChars="0" w:firstLine="420" w:firstLineChars="200"/>
        <w:textAlignment w:val="auto"/>
        <w:rPr>
          <w:rFonts w:hint="eastAsia" w:ascii="宋体" w:hAnsi="宋体" w:eastAsia="宋体" w:cs="宋体"/>
          <w:color w:val="auto"/>
          <w:kern w:val="2"/>
          <w:sz w:val="21"/>
          <w:szCs w:val="21"/>
          <w:highlight w:val="none"/>
        </w:rPr>
      </w:pPr>
      <w:r>
        <w:rPr>
          <w:rFonts w:hint="eastAsia" w:ascii="宋体" w:hAnsi="宋体" w:eastAsia="宋体" w:cs="宋体"/>
          <w:color w:val="auto"/>
          <w:kern w:val="2"/>
          <w:sz w:val="21"/>
          <w:szCs w:val="21"/>
          <w:highlight w:val="none"/>
        </w:rPr>
        <w:t>四、我方承诺，在收到受益人发来的书面索赔通知和本保函原件后的</w:t>
      </w:r>
      <w:r>
        <w:rPr>
          <w:rFonts w:hint="eastAsia" w:ascii="宋体" w:hAnsi="宋体" w:eastAsia="宋体" w:cs="宋体"/>
          <w:color w:val="auto"/>
          <w:kern w:val="2"/>
          <w:sz w:val="21"/>
          <w:szCs w:val="21"/>
          <w:highlight w:val="none"/>
          <w:u w:val="single"/>
        </w:rPr>
        <w:t xml:space="preserve">    </w:t>
      </w:r>
      <w:r>
        <w:rPr>
          <w:rFonts w:hint="eastAsia" w:ascii="宋体" w:hAnsi="宋体" w:eastAsia="宋体" w:cs="宋体"/>
          <w:color w:val="auto"/>
          <w:kern w:val="2"/>
          <w:sz w:val="21"/>
          <w:szCs w:val="21"/>
          <w:highlight w:val="none"/>
          <w:u w:val="none"/>
          <w:lang w:eastAsia="zh-CN"/>
        </w:rPr>
        <w:t>个工作</w:t>
      </w:r>
      <w:r>
        <w:rPr>
          <w:rFonts w:hint="eastAsia" w:ascii="宋体" w:hAnsi="宋体" w:eastAsia="宋体" w:cs="宋体"/>
          <w:color w:val="auto"/>
          <w:kern w:val="2"/>
          <w:sz w:val="21"/>
          <w:szCs w:val="21"/>
          <w:highlight w:val="none"/>
        </w:rPr>
        <w:t>日内无条件支付至受益人指定账户，前述书面索赔通知即为付款要求之单据，且应满足以下要求：</w:t>
      </w:r>
    </w:p>
    <w:p w14:paraId="5C7B3781">
      <w:pPr>
        <w:keepNext w:val="0"/>
        <w:keepLines w:val="0"/>
        <w:pageBreakBefore w:val="0"/>
        <w:shd w:val="clear"/>
        <w:kinsoku/>
        <w:wordWrap/>
        <w:overflowPunct w:val="0"/>
        <w:topLinePunct w:val="0"/>
        <w:autoSpaceDE/>
        <w:autoSpaceDN/>
        <w:bidi w:val="0"/>
        <w:adjustRightInd/>
        <w:snapToGrid/>
        <w:spacing w:beforeLines="0" w:line="360" w:lineRule="auto"/>
        <w:ind w:right="0" w:rightChars="0" w:firstLine="420" w:firstLineChars="200"/>
        <w:textAlignment w:val="auto"/>
        <w:rPr>
          <w:rFonts w:hint="eastAsia" w:ascii="宋体" w:hAnsi="宋体" w:eastAsia="宋体" w:cs="宋体"/>
          <w:color w:val="auto"/>
          <w:kern w:val="2"/>
          <w:sz w:val="21"/>
          <w:szCs w:val="21"/>
          <w:highlight w:val="none"/>
        </w:rPr>
      </w:pPr>
      <w:r>
        <w:rPr>
          <w:rFonts w:hint="eastAsia" w:ascii="宋体" w:hAnsi="宋体" w:eastAsia="宋体" w:cs="宋体"/>
          <w:color w:val="auto"/>
          <w:kern w:val="2"/>
          <w:sz w:val="21"/>
          <w:szCs w:val="21"/>
          <w:highlight w:val="none"/>
        </w:rPr>
        <w:t>（1）索赔通知到达的日期在本保函的有效期内；</w:t>
      </w:r>
    </w:p>
    <w:p w14:paraId="0DC8A4C9">
      <w:pPr>
        <w:keepNext w:val="0"/>
        <w:keepLines w:val="0"/>
        <w:pageBreakBefore w:val="0"/>
        <w:shd w:val="clear"/>
        <w:kinsoku/>
        <w:wordWrap/>
        <w:overflowPunct w:val="0"/>
        <w:topLinePunct w:val="0"/>
        <w:autoSpaceDE/>
        <w:autoSpaceDN/>
        <w:bidi w:val="0"/>
        <w:adjustRightInd/>
        <w:snapToGrid/>
        <w:spacing w:beforeLines="0" w:line="360" w:lineRule="auto"/>
        <w:ind w:right="0" w:rightChars="0" w:firstLine="420" w:firstLineChars="200"/>
        <w:textAlignment w:val="auto"/>
        <w:rPr>
          <w:rFonts w:hint="eastAsia" w:ascii="宋体" w:hAnsi="宋体" w:eastAsia="宋体" w:cs="宋体"/>
          <w:color w:val="auto"/>
          <w:kern w:val="2"/>
          <w:sz w:val="21"/>
          <w:szCs w:val="21"/>
          <w:highlight w:val="none"/>
        </w:rPr>
      </w:pPr>
      <w:r>
        <w:rPr>
          <w:rFonts w:hint="eastAsia" w:ascii="宋体" w:hAnsi="宋体" w:eastAsia="宋体" w:cs="宋体"/>
          <w:color w:val="auto"/>
          <w:kern w:val="2"/>
          <w:sz w:val="21"/>
          <w:szCs w:val="21"/>
          <w:highlight w:val="none"/>
        </w:rPr>
        <w:t>（2）载明要求支付的金额；</w:t>
      </w:r>
    </w:p>
    <w:p w14:paraId="1CBEA855">
      <w:pPr>
        <w:keepNext w:val="0"/>
        <w:keepLines w:val="0"/>
        <w:pageBreakBefore w:val="0"/>
        <w:shd w:val="clear"/>
        <w:kinsoku/>
        <w:wordWrap/>
        <w:overflowPunct w:val="0"/>
        <w:topLinePunct w:val="0"/>
        <w:autoSpaceDE/>
        <w:autoSpaceDN/>
        <w:bidi w:val="0"/>
        <w:adjustRightInd/>
        <w:snapToGrid/>
        <w:spacing w:beforeLines="0" w:line="360" w:lineRule="auto"/>
        <w:ind w:right="0" w:rightChars="0" w:firstLine="420" w:firstLineChars="200"/>
        <w:textAlignment w:val="auto"/>
        <w:rPr>
          <w:rFonts w:hint="eastAsia" w:ascii="宋体" w:hAnsi="宋体" w:eastAsia="宋体" w:cs="宋体"/>
          <w:color w:val="auto"/>
          <w:kern w:val="2"/>
          <w:sz w:val="21"/>
          <w:szCs w:val="21"/>
          <w:highlight w:val="none"/>
        </w:rPr>
      </w:pPr>
      <w:r>
        <w:rPr>
          <w:rFonts w:hint="eastAsia" w:ascii="宋体" w:hAnsi="宋体" w:eastAsia="宋体" w:cs="宋体"/>
          <w:color w:val="auto"/>
          <w:kern w:val="2"/>
          <w:sz w:val="21"/>
          <w:szCs w:val="21"/>
          <w:highlight w:val="none"/>
        </w:rPr>
        <w:t>（3）载明申请人违反合同义务的条款和内容；</w:t>
      </w:r>
    </w:p>
    <w:p w14:paraId="1AEEF512">
      <w:pPr>
        <w:keepNext w:val="0"/>
        <w:keepLines w:val="0"/>
        <w:pageBreakBefore w:val="0"/>
        <w:shd w:val="clear"/>
        <w:kinsoku/>
        <w:wordWrap/>
        <w:overflowPunct w:val="0"/>
        <w:topLinePunct w:val="0"/>
        <w:autoSpaceDE/>
        <w:autoSpaceDN/>
        <w:bidi w:val="0"/>
        <w:adjustRightInd/>
        <w:snapToGrid/>
        <w:spacing w:beforeLines="0" w:line="360" w:lineRule="auto"/>
        <w:ind w:right="0" w:rightChars="0" w:firstLine="420" w:firstLineChars="200"/>
        <w:textAlignment w:val="auto"/>
        <w:rPr>
          <w:rFonts w:hint="eastAsia" w:ascii="宋体" w:hAnsi="宋体" w:eastAsia="宋体" w:cs="宋体"/>
          <w:color w:val="auto"/>
          <w:kern w:val="2"/>
          <w:sz w:val="21"/>
          <w:szCs w:val="21"/>
          <w:highlight w:val="none"/>
        </w:rPr>
      </w:pPr>
      <w:r>
        <w:rPr>
          <w:rFonts w:hint="eastAsia" w:ascii="宋体" w:hAnsi="宋体" w:eastAsia="宋体" w:cs="宋体"/>
          <w:color w:val="auto"/>
          <w:kern w:val="2"/>
          <w:sz w:val="21"/>
          <w:szCs w:val="21"/>
          <w:highlight w:val="none"/>
        </w:rPr>
        <w:t>（4）声明不存在合同文件约定或我国法律规定免除申请人或开立人支付责任的情形；</w:t>
      </w:r>
    </w:p>
    <w:p w14:paraId="0412A0E1">
      <w:pPr>
        <w:keepNext w:val="0"/>
        <w:keepLines w:val="0"/>
        <w:pageBreakBefore w:val="0"/>
        <w:shd w:val="clear"/>
        <w:kinsoku/>
        <w:wordWrap/>
        <w:overflowPunct w:val="0"/>
        <w:topLinePunct w:val="0"/>
        <w:autoSpaceDE/>
        <w:autoSpaceDN/>
        <w:bidi w:val="0"/>
        <w:adjustRightInd/>
        <w:snapToGrid/>
        <w:spacing w:beforeLines="0" w:line="360" w:lineRule="auto"/>
        <w:ind w:right="0" w:rightChars="0" w:firstLine="420" w:firstLineChars="200"/>
        <w:textAlignment w:val="auto"/>
        <w:rPr>
          <w:rFonts w:hint="eastAsia" w:ascii="宋体" w:hAnsi="宋体" w:eastAsia="宋体" w:cs="宋体"/>
          <w:color w:val="auto"/>
          <w:kern w:val="2"/>
          <w:sz w:val="21"/>
          <w:szCs w:val="21"/>
          <w:highlight w:val="none"/>
        </w:rPr>
      </w:pPr>
      <w:r>
        <w:rPr>
          <w:rFonts w:hint="eastAsia" w:ascii="宋体" w:hAnsi="宋体" w:eastAsia="宋体" w:cs="宋体"/>
          <w:color w:val="auto"/>
          <w:kern w:val="2"/>
          <w:sz w:val="21"/>
          <w:szCs w:val="21"/>
          <w:highlight w:val="none"/>
        </w:rPr>
        <w:t>（5）索赔通知应在本保函有效期内到达的地址是：</w:t>
      </w:r>
      <w:r>
        <w:rPr>
          <w:rFonts w:hint="eastAsia" w:ascii="宋体" w:hAnsi="宋体" w:eastAsia="宋体" w:cs="宋体"/>
          <w:color w:val="auto"/>
          <w:kern w:val="2"/>
          <w:sz w:val="21"/>
          <w:szCs w:val="21"/>
          <w:highlight w:val="none"/>
          <w:u w:val="single"/>
        </w:rPr>
        <w:t xml:space="preserve">       </w:t>
      </w:r>
      <w:r>
        <w:rPr>
          <w:rFonts w:hint="eastAsia" w:ascii="宋体" w:hAnsi="宋体" w:eastAsia="宋体" w:cs="宋体"/>
          <w:color w:val="auto"/>
          <w:kern w:val="2"/>
          <w:sz w:val="21"/>
          <w:szCs w:val="21"/>
          <w:highlight w:val="none"/>
        </w:rPr>
        <w:t>。</w:t>
      </w:r>
    </w:p>
    <w:p w14:paraId="6E4DA7AB">
      <w:pPr>
        <w:keepNext w:val="0"/>
        <w:keepLines w:val="0"/>
        <w:pageBreakBefore w:val="0"/>
        <w:shd w:val="clear"/>
        <w:kinsoku/>
        <w:wordWrap/>
        <w:overflowPunct/>
        <w:topLinePunct w:val="0"/>
        <w:autoSpaceDE/>
        <w:autoSpaceDN/>
        <w:bidi w:val="0"/>
        <w:adjustRightInd/>
        <w:snapToGrid/>
        <w:spacing w:beforeLines="0" w:line="360" w:lineRule="auto"/>
        <w:ind w:right="0" w:rightChars="0" w:firstLine="420" w:firstLineChars="200"/>
        <w:textAlignment w:val="auto"/>
        <w:outlineLvl w:val="9"/>
        <w:rPr>
          <w:rFonts w:hint="eastAsia" w:ascii="宋体" w:hAnsi="宋体" w:eastAsia="宋体" w:cs="宋体"/>
          <w:color w:val="auto"/>
          <w:kern w:val="2"/>
          <w:sz w:val="21"/>
          <w:szCs w:val="21"/>
          <w:highlight w:val="none"/>
        </w:rPr>
      </w:pPr>
      <w:r>
        <w:rPr>
          <w:rFonts w:hint="eastAsia" w:ascii="宋体" w:hAnsi="宋体" w:eastAsia="宋体" w:cs="宋体"/>
          <w:color w:val="auto"/>
          <w:kern w:val="2"/>
          <w:sz w:val="21"/>
          <w:szCs w:val="21"/>
          <w:highlight w:val="none"/>
          <w:lang w:eastAsia="zh-CN"/>
        </w:rPr>
        <w:t>受益人发出的书面索赔通知应由其为鉴明受益人法定代表人（负责人）或授权代理人签名或盖个人名章并加盖公章。</w:t>
      </w:r>
    </w:p>
    <w:p w14:paraId="159FE94C">
      <w:pPr>
        <w:keepNext w:val="0"/>
        <w:keepLines w:val="0"/>
        <w:pageBreakBefore w:val="0"/>
        <w:shd w:val="clear"/>
        <w:kinsoku/>
        <w:wordWrap/>
        <w:overflowPunct w:val="0"/>
        <w:topLinePunct w:val="0"/>
        <w:autoSpaceDE/>
        <w:autoSpaceDN/>
        <w:bidi w:val="0"/>
        <w:adjustRightInd/>
        <w:snapToGrid/>
        <w:spacing w:beforeLines="0" w:line="360" w:lineRule="auto"/>
        <w:ind w:right="0" w:rightChars="0" w:firstLine="420" w:firstLineChars="200"/>
        <w:textAlignment w:val="auto"/>
        <w:rPr>
          <w:rFonts w:hint="eastAsia" w:ascii="宋体" w:hAnsi="宋体" w:eastAsia="宋体" w:cs="宋体"/>
          <w:color w:val="auto"/>
          <w:kern w:val="2"/>
          <w:sz w:val="21"/>
          <w:szCs w:val="21"/>
          <w:highlight w:val="none"/>
        </w:rPr>
      </w:pPr>
      <w:r>
        <w:rPr>
          <w:rFonts w:hint="eastAsia" w:ascii="宋体" w:hAnsi="宋体" w:eastAsia="宋体" w:cs="宋体"/>
          <w:color w:val="auto"/>
          <w:kern w:val="2"/>
          <w:sz w:val="21"/>
          <w:szCs w:val="21"/>
          <w:highlight w:val="none"/>
        </w:rPr>
        <w:t>五、本保函项下的权利不得转让，不得设定担保。贵方未经我方书面同意转让本保函或其项下任何权利，对我方不发生法律效力。</w:t>
      </w:r>
    </w:p>
    <w:p w14:paraId="3D84C1E5">
      <w:pPr>
        <w:keepNext w:val="0"/>
        <w:keepLines w:val="0"/>
        <w:pageBreakBefore w:val="0"/>
        <w:shd w:val="clear"/>
        <w:kinsoku/>
        <w:wordWrap/>
        <w:overflowPunct/>
        <w:topLinePunct w:val="0"/>
        <w:autoSpaceDE/>
        <w:autoSpaceDN/>
        <w:bidi w:val="0"/>
        <w:adjustRightInd/>
        <w:snapToGrid/>
        <w:spacing w:beforeLines="0" w:line="360" w:lineRule="auto"/>
        <w:ind w:right="0" w:rightChars="0" w:firstLine="420" w:firstLineChars="200"/>
        <w:textAlignment w:val="auto"/>
        <w:rPr>
          <w:rFonts w:hint="eastAsia" w:ascii="宋体" w:hAnsi="宋体" w:eastAsia="宋体" w:cs="宋体"/>
          <w:color w:val="auto"/>
          <w:kern w:val="2"/>
          <w:sz w:val="21"/>
          <w:szCs w:val="21"/>
          <w:highlight w:val="none"/>
        </w:rPr>
      </w:pPr>
      <w:r>
        <w:rPr>
          <w:rFonts w:hint="eastAsia" w:ascii="宋体" w:hAnsi="宋体" w:eastAsia="宋体" w:cs="宋体"/>
          <w:color w:val="auto"/>
          <w:kern w:val="2"/>
          <w:sz w:val="21"/>
          <w:szCs w:val="21"/>
          <w:highlight w:val="none"/>
        </w:rPr>
        <w:t xml:space="preserve">六、与本保函有关的合同不成立、不生效、无效、被撤销、被解除，不影响本保函的独立有效。 </w:t>
      </w:r>
    </w:p>
    <w:p w14:paraId="313AC6FD">
      <w:pPr>
        <w:keepNext w:val="0"/>
        <w:keepLines w:val="0"/>
        <w:pageBreakBefore w:val="0"/>
        <w:shd w:val="clear"/>
        <w:kinsoku/>
        <w:wordWrap/>
        <w:overflowPunct/>
        <w:topLinePunct w:val="0"/>
        <w:autoSpaceDE/>
        <w:autoSpaceDN/>
        <w:bidi w:val="0"/>
        <w:adjustRightInd/>
        <w:snapToGrid/>
        <w:spacing w:beforeLines="0" w:line="360" w:lineRule="auto"/>
        <w:ind w:right="0" w:rightChars="0" w:firstLine="420" w:firstLineChars="200"/>
        <w:textAlignment w:val="auto"/>
        <w:rPr>
          <w:rFonts w:hint="eastAsia" w:ascii="宋体" w:hAnsi="宋体" w:eastAsia="宋体" w:cs="宋体"/>
          <w:color w:val="auto"/>
          <w:kern w:val="2"/>
          <w:sz w:val="21"/>
          <w:szCs w:val="21"/>
          <w:highlight w:val="none"/>
        </w:rPr>
      </w:pPr>
      <w:r>
        <w:rPr>
          <w:rFonts w:hint="eastAsia" w:ascii="宋体" w:hAnsi="宋体" w:eastAsia="宋体" w:cs="宋体"/>
          <w:color w:val="auto"/>
          <w:kern w:val="2"/>
          <w:sz w:val="21"/>
          <w:szCs w:val="21"/>
          <w:highlight w:val="none"/>
        </w:rPr>
        <w:t>七、贵方应在本保函到期后的</w:t>
      </w:r>
      <w:r>
        <w:rPr>
          <w:rFonts w:hint="eastAsia" w:ascii="宋体" w:hAnsi="宋体" w:eastAsia="宋体" w:cs="宋体"/>
          <w:color w:val="auto"/>
          <w:kern w:val="2"/>
          <w:sz w:val="21"/>
          <w:szCs w:val="21"/>
          <w:highlight w:val="none"/>
          <w:lang w:eastAsia="zh-CN"/>
        </w:rPr>
        <w:t>七个工作</w:t>
      </w:r>
      <w:r>
        <w:rPr>
          <w:rFonts w:hint="eastAsia" w:ascii="宋体" w:hAnsi="宋体" w:eastAsia="宋体" w:cs="宋体"/>
          <w:color w:val="auto"/>
          <w:kern w:val="2"/>
          <w:sz w:val="21"/>
          <w:szCs w:val="21"/>
          <w:highlight w:val="none"/>
        </w:rPr>
        <w:t>日内将本保函正本退回我方注销，但是不论贵方是否按此要求将本保函正本退回我方，我方在本保函项下的义务和责任均在保函有效期到期后自动消灭。</w:t>
      </w:r>
    </w:p>
    <w:p w14:paraId="01C8E837">
      <w:pPr>
        <w:keepNext w:val="0"/>
        <w:keepLines w:val="0"/>
        <w:pageBreakBefore w:val="0"/>
        <w:shd w:val="clear"/>
        <w:kinsoku/>
        <w:wordWrap/>
        <w:overflowPunct/>
        <w:topLinePunct w:val="0"/>
        <w:autoSpaceDE/>
        <w:autoSpaceDN/>
        <w:bidi w:val="0"/>
        <w:adjustRightInd/>
        <w:snapToGrid/>
        <w:spacing w:beforeLines="0" w:line="360" w:lineRule="auto"/>
        <w:ind w:right="0" w:rightChars="0" w:firstLine="420" w:firstLineChars="200"/>
        <w:textAlignment w:val="auto"/>
        <w:rPr>
          <w:rFonts w:hint="eastAsia" w:ascii="宋体" w:hAnsi="宋体" w:eastAsia="宋体" w:cs="宋体"/>
          <w:color w:val="auto"/>
          <w:kern w:val="2"/>
          <w:sz w:val="21"/>
          <w:szCs w:val="21"/>
          <w:highlight w:val="none"/>
        </w:rPr>
      </w:pPr>
      <w:r>
        <w:rPr>
          <w:rFonts w:hint="eastAsia" w:ascii="宋体" w:hAnsi="宋体" w:eastAsia="宋体" w:cs="宋体"/>
          <w:color w:val="auto"/>
          <w:kern w:val="2"/>
          <w:sz w:val="21"/>
          <w:szCs w:val="21"/>
          <w:highlight w:val="none"/>
        </w:rPr>
        <w:t>八、本保函适用的法律为中华人民共和国法律，争议裁判管辖地为中华人民共和国</w:t>
      </w:r>
      <w:r>
        <w:rPr>
          <w:rFonts w:hint="eastAsia" w:ascii="宋体" w:hAnsi="宋体" w:eastAsia="宋体" w:cs="宋体"/>
          <w:color w:val="auto"/>
          <w:kern w:val="2"/>
          <w:sz w:val="21"/>
          <w:szCs w:val="21"/>
          <w:highlight w:val="none"/>
          <w:u w:val="single"/>
        </w:rPr>
        <w:t xml:space="preserve">   </w:t>
      </w:r>
      <w:r>
        <w:rPr>
          <w:rFonts w:hint="eastAsia" w:ascii="宋体" w:hAnsi="宋体" w:eastAsia="宋体" w:cs="宋体"/>
          <w:color w:val="auto"/>
          <w:kern w:val="2"/>
          <w:sz w:val="21"/>
          <w:szCs w:val="21"/>
          <w:highlight w:val="none"/>
          <w:u w:val="single"/>
          <w:lang w:val="en-US" w:eastAsia="zh-CN"/>
        </w:rPr>
        <w:t xml:space="preserve">      </w:t>
      </w:r>
      <w:r>
        <w:rPr>
          <w:rFonts w:hint="eastAsia" w:ascii="宋体" w:hAnsi="宋体" w:eastAsia="宋体" w:cs="宋体"/>
          <w:color w:val="auto"/>
          <w:kern w:val="2"/>
          <w:sz w:val="21"/>
          <w:szCs w:val="21"/>
          <w:highlight w:val="none"/>
          <w:u w:val="single"/>
        </w:rPr>
        <w:t xml:space="preserve">  </w:t>
      </w:r>
      <w:r>
        <w:rPr>
          <w:rFonts w:hint="eastAsia" w:ascii="宋体" w:hAnsi="宋体" w:eastAsia="宋体" w:cs="宋体"/>
          <w:color w:val="auto"/>
          <w:kern w:val="2"/>
          <w:sz w:val="21"/>
          <w:szCs w:val="21"/>
          <w:highlight w:val="none"/>
        </w:rPr>
        <w:t>。</w:t>
      </w:r>
    </w:p>
    <w:p w14:paraId="2CD9210F">
      <w:pPr>
        <w:keepNext w:val="0"/>
        <w:keepLines w:val="0"/>
        <w:pageBreakBefore w:val="0"/>
        <w:shd w:val="clear"/>
        <w:kinsoku/>
        <w:wordWrap/>
        <w:overflowPunct/>
        <w:topLinePunct w:val="0"/>
        <w:autoSpaceDE/>
        <w:autoSpaceDN/>
        <w:bidi w:val="0"/>
        <w:adjustRightInd/>
        <w:snapToGrid/>
        <w:spacing w:beforeLines="0" w:line="360" w:lineRule="auto"/>
        <w:ind w:right="0" w:rightChars="0" w:firstLine="420" w:firstLineChars="200"/>
        <w:textAlignment w:val="auto"/>
        <w:outlineLvl w:val="9"/>
        <w:rPr>
          <w:rFonts w:hint="eastAsia" w:ascii="宋体" w:hAnsi="宋体" w:eastAsia="宋体" w:cs="宋体"/>
          <w:color w:val="auto"/>
          <w:kern w:val="2"/>
          <w:sz w:val="21"/>
          <w:szCs w:val="21"/>
          <w:highlight w:val="none"/>
        </w:rPr>
      </w:pPr>
      <w:r>
        <w:rPr>
          <w:rFonts w:hint="eastAsia" w:ascii="宋体" w:hAnsi="宋体" w:eastAsia="宋体" w:cs="宋体"/>
          <w:color w:val="auto"/>
          <w:kern w:val="2"/>
          <w:sz w:val="21"/>
          <w:szCs w:val="21"/>
          <w:highlight w:val="none"/>
        </w:rPr>
        <w:t>九、本保函自我方法定代表人或授权代表</w:t>
      </w:r>
      <w:r>
        <w:rPr>
          <w:rFonts w:hint="eastAsia" w:ascii="宋体" w:hAnsi="宋体" w:eastAsia="宋体" w:cs="宋体"/>
          <w:color w:val="auto"/>
          <w:kern w:val="2"/>
          <w:sz w:val="21"/>
          <w:szCs w:val="21"/>
          <w:highlight w:val="none"/>
          <w:lang w:eastAsia="zh-CN"/>
        </w:rPr>
        <w:t>签名</w:t>
      </w:r>
      <w:r>
        <w:rPr>
          <w:rFonts w:hint="eastAsia" w:ascii="宋体" w:hAnsi="宋体" w:eastAsia="宋体" w:cs="宋体"/>
          <w:color w:val="auto"/>
          <w:kern w:val="2"/>
          <w:sz w:val="21"/>
          <w:szCs w:val="21"/>
          <w:highlight w:val="none"/>
        </w:rPr>
        <w:t>或盖个人名章并加盖公章或合同专用章之日起生效。</w:t>
      </w:r>
    </w:p>
    <w:p w14:paraId="475CE7A1">
      <w:pPr>
        <w:keepNext w:val="0"/>
        <w:keepLines w:val="0"/>
        <w:pageBreakBefore w:val="0"/>
        <w:widowControl w:val="0"/>
        <w:shd w:val="clear"/>
        <w:kinsoku/>
        <w:wordWrap/>
        <w:overflowPunct/>
        <w:topLinePunct w:val="0"/>
        <w:autoSpaceDE/>
        <w:autoSpaceDN/>
        <w:bidi w:val="0"/>
        <w:adjustRightInd/>
        <w:snapToGrid/>
        <w:spacing w:beforeLines="0" w:line="360" w:lineRule="auto"/>
        <w:ind w:right="0" w:rightChars="0" w:firstLine="420" w:firstLineChars="200"/>
        <w:textAlignment w:val="auto"/>
        <w:outlineLvl w:val="9"/>
        <w:rPr>
          <w:rFonts w:hint="eastAsia" w:ascii="宋体" w:hAnsi="宋体" w:eastAsia="宋体" w:cs="宋体"/>
          <w:color w:val="auto"/>
          <w:kern w:val="2"/>
          <w:sz w:val="21"/>
          <w:szCs w:val="21"/>
          <w:highlight w:val="none"/>
          <w:u w:val="none"/>
        </w:rPr>
      </w:pPr>
      <w:r>
        <w:rPr>
          <w:rFonts w:hint="eastAsia" w:ascii="宋体" w:hAnsi="宋体" w:eastAsia="宋体" w:cs="宋体"/>
          <w:color w:val="auto"/>
          <w:kern w:val="2"/>
          <w:sz w:val="21"/>
          <w:szCs w:val="21"/>
          <w:highlight w:val="none"/>
          <w:lang w:val="en-US" w:eastAsia="zh-CN"/>
        </w:rPr>
        <w:t>十、</w:t>
      </w:r>
      <w:r>
        <w:rPr>
          <w:rFonts w:hint="eastAsia" w:ascii="宋体" w:hAnsi="宋体" w:eastAsia="宋体" w:cs="宋体"/>
          <w:color w:val="auto"/>
          <w:kern w:val="2"/>
          <w:sz w:val="21"/>
          <w:szCs w:val="21"/>
          <w:highlight w:val="none"/>
          <w:lang w:eastAsia="zh-CN"/>
        </w:rPr>
        <w:t>本保函在重庆市辖区范围内的核验地点：</w:t>
      </w:r>
      <w:r>
        <w:rPr>
          <w:rFonts w:hint="eastAsia" w:ascii="宋体" w:hAnsi="宋体" w:eastAsia="宋体" w:cs="宋体"/>
          <w:color w:val="auto"/>
          <w:kern w:val="2"/>
          <w:sz w:val="21"/>
          <w:szCs w:val="21"/>
          <w:highlight w:val="none"/>
          <w:u w:val="single"/>
        </w:rPr>
        <w:t xml:space="preserve">   </w:t>
      </w:r>
      <w:r>
        <w:rPr>
          <w:rFonts w:hint="eastAsia" w:ascii="宋体" w:hAnsi="宋体" w:eastAsia="宋体" w:cs="宋体"/>
          <w:color w:val="auto"/>
          <w:kern w:val="2"/>
          <w:sz w:val="21"/>
          <w:szCs w:val="21"/>
          <w:highlight w:val="none"/>
          <w:u w:val="single"/>
          <w:lang w:val="en-US" w:eastAsia="zh-CN"/>
        </w:rPr>
        <w:t xml:space="preserve">    </w:t>
      </w:r>
      <w:r>
        <w:rPr>
          <w:rFonts w:hint="eastAsia" w:ascii="宋体" w:hAnsi="宋体" w:eastAsia="宋体" w:cs="宋体"/>
          <w:color w:val="auto"/>
          <w:kern w:val="2"/>
          <w:sz w:val="21"/>
          <w:szCs w:val="21"/>
          <w:highlight w:val="none"/>
          <w:u w:val="single"/>
        </w:rPr>
        <w:t xml:space="preserve">   </w:t>
      </w:r>
      <w:r>
        <w:rPr>
          <w:rFonts w:hint="eastAsia" w:ascii="宋体" w:hAnsi="宋体" w:eastAsia="宋体" w:cs="宋体"/>
          <w:color w:val="auto"/>
          <w:kern w:val="2"/>
          <w:sz w:val="21"/>
          <w:szCs w:val="21"/>
          <w:highlight w:val="none"/>
          <w:u w:val="none"/>
          <w:lang w:eastAsia="zh-CN"/>
        </w:rPr>
        <w:t>；核验方式：</w:t>
      </w:r>
      <w:r>
        <w:rPr>
          <w:rFonts w:hint="eastAsia" w:ascii="宋体" w:hAnsi="宋体" w:eastAsia="宋体" w:cs="宋体"/>
          <w:color w:val="auto"/>
          <w:kern w:val="2"/>
          <w:sz w:val="21"/>
          <w:szCs w:val="21"/>
          <w:highlight w:val="none"/>
          <w:u w:val="single"/>
        </w:rPr>
        <w:t xml:space="preserve">      </w:t>
      </w:r>
      <w:r>
        <w:rPr>
          <w:rFonts w:hint="eastAsia" w:ascii="宋体" w:hAnsi="宋体" w:eastAsia="宋体" w:cs="宋体"/>
          <w:color w:val="auto"/>
          <w:kern w:val="2"/>
          <w:sz w:val="21"/>
          <w:szCs w:val="21"/>
          <w:highlight w:val="none"/>
          <w:u w:val="single"/>
          <w:lang w:val="en-US" w:eastAsia="zh-CN"/>
        </w:rPr>
        <w:t xml:space="preserve">  </w:t>
      </w:r>
      <w:r>
        <w:rPr>
          <w:rFonts w:hint="eastAsia" w:ascii="宋体" w:hAnsi="宋体" w:eastAsia="宋体" w:cs="宋体"/>
          <w:color w:val="auto"/>
          <w:kern w:val="2"/>
          <w:sz w:val="21"/>
          <w:szCs w:val="21"/>
          <w:highlight w:val="none"/>
          <w:u w:val="none"/>
          <w:lang w:val="en-US" w:eastAsia="zh-CN"/>
        </w:rPr>
        <w:t>。</w:t>
      </w:r>
    </w:p>
    <w:p w14:paraId="70BA37CF">
      <w:pPr>
        <w:keepNext w:val="0"/>
        <w:keepLines w:val="0"/>
        <w:pageBreakBefore w:val="0"/>
        <w:widowControl w:val="0"/>
        <w:shd w:val="clear"/>
        <w:kinsoku/>
        <w:wordWrap/>
        <w:topLinePunct w:val="0"/>
        <w:autoSpaceDE/>
        <w:autoSpaceDN/>
        <w:bidi w:val="0"/>
        <w:snapToGrid/>
        <w:spacing w:beforeLines="0" w:after="0" w:line="360" w:lineRule="auto"/>
        <w:ind w:firstLine="420" w:firstLineChars="200"/>
        <w:jc w:val="both"/>
        <w:rPr>
          <w:rFonts w:hint="eastAsia" w:ascii="宋体" w:hAnsi="宋体" w:eastAsia="宋体" w:cs="宋体"/>
          <w:color w:val="auto"/>
          <w:kern w:val="2"/>
          <w:sz w:val="21"/>
          <w:szCs w:val="21"/>
          <w:highlight w:val="none"/>
          <w:lang w:val="en-US" w:eastAsia="zh-CN" w:bidi="ar-SA"/>
        </w:rPr>
      </w:pPr>
    </w:p>
    <w:p w14:paraId="6ACEBE6A">
      <w:pPr>
        <w:keepNext w:val="0"/>
        <w:keepLines w:val="0"/>
        <w:pageBreakBefore w:val="0"/>
        <w:shd w:val="clear"/>
        <w:kinsoku/>
        <w:wordWrap/>
        <w:overflowPunct/>
        <w:topLinePunct w:val="0"/>
        <w:autoSpaceDE/>
        <w:autoSpaceDN/>
        <w:bidi w:val="0"/>
        <w:adjustRightInd/>
        <w:snapToGrid/>
        <w:spacing w:beforeLines="0" w:line="360" w:lineRule="auto"/>
        <w:ind w:right="0" w:rightChars="0" w:firstLine="420" w:firstLineChars="200"/>
        <w:textAlignment w:val="auto"/>
        <w:outlineLvl w:val="9"/>
        <w:rPr>
          <w:rFonts w:hint="eastAsia" w:ascii="宋体" w:hAnsi="宋体" w:eastAsia="宋体" w:cs="宋体"/>
          <w:color w:val="auto"/>
          <w:kern w:val="2"/>
          <w:sz w:val="21"/>
          <w:szCs w:val="21"/>
          <w:highlight w:val="none"/>
        </w:rPr>
      </w:pPr>
      <w:r>
        <w:rPr>
          <w:rFonts w:hint="eastAsia" w:ascii="宋体" w:hAnsi="宋体" w:eastAsia="宋体" w:cs="宋体"/>
          <w:color w:val="auto"/>
          <w:kern w:val="2"/>
          <w:sz w:val="21"/>
          <w:szCs w:val="21"/>
          <w:highlight w:val="none"/>
        </w:rPr>
        <w:t xml:space="preserve">开 立 人： </w:t>
      </w:r>
      <w:r>
        <w:rPr>
          <w:rFonts w:hint="eastAsia" w:ascii="宋体" w:hAnsi="宋体" w:eastAsia="宋体" w:cs="宋体"/>
          <w:color w:val="auto"/>
          <w:kern w:val="2"/>
          <w:sz w:val="21"/>
          <w:szCs w:val="21"/>
          <w:highlight w:val="none"/>
          <w:u w:val="single"/>
        </w:rPr>
        <w:t xml:space="preserve">              </w:t>
      </w:r>
      <w:r>
        <w:rPr>
          <w:rFonts w:hint="eastAsia" w:ascii="宋体" w:hAnsi="宋体" w:eastAsia="宋体" w:cs="宋体"/>
          <w:color w:val="auto"/>
          <w:kern w:val="2"/>
          <w:sz w:val="21"/>
          <w:szCs w:val="21"/>
          <w:highlight w:val="none"/>
          <w:u w:val="single"/>
          <w:lang w:val="en-US" w:eastAsia="zh-CN"/>
        </w:rPr>
        <w:t xml:space="preserve">                  </w:t>
      </w:r>
      <w:r>
        <w:rPr>
          <w:rFonts w:hint="eastAsia" w:ascii="宋体" w:hAnsi="宋体" w:eastAsia="宋体" w:cs="宋体"/>
          <w:color w:val="auto"/>
          <w:kern w:val="2"/>
          <w:sz w:val="21"/>
          <w:szCs w:val="21"/>
          <w:highlight w:val="none"/>
          <w:u w:val="single"/>
        </w:rPr>
        <w:t xml:space="preserve">  </w:t>
      </w:r>
      <w:r>
        <w:rPr>
          <w:rFonts w:hint="eastAsia" w:ascii="宋体" w:hAnsi="宋体" w:eastAsia="宋体" w:cs="宋体"/>
          <w:color w:val="auto"/>
          <w:kern w:val="2"/>
          <w:sz w:val="21"/>
          <w:szCs w:val="21"/>
          <w:highlight w:val="none"/>
        </w:rPr>
        <w:t>（公章）</w:t>
      </w:r>
    </w:p>
    <w:p w14:paraId="05738CF5">
      <w:pPr>
        <w:keepNext w:val="0"/>
        <w:keepLines w:val="0"/>
        <w:pageBreakBefore w:val="0"/>
        <w:shd w:val="clear"/>
        <w:kinsoku/>
        <w:wordWrap/>
        <w:overflowPunct/>
        <w:topLinePunct w:val="0"/>
        <w:autoSpaceDE/>
        <w:autoSpaceDN/>
        <w:bidi w:val="0"/>
        <w:adjustRightInd/>
        <w:snapToGrid/>
        <w:spacing w:beforeLines="0" w:line="360" w:lineRule="auto"/>
        <w:ind w:right="0" w:rightChars="0" w:firstLine="420" w:firstLineChars="200"/>
        <w:textAlignment w:val="auto"/>
        <w:outlineLvl w:val="9"/>
        <w:rPr>
          <w:rFonts w:hint="eastAsia" w:ascii="宋体" w:hAnsi="宋体" w:eastAsia="宋体" w:cs="宋体"/>
          <w:color w:val="auto"/>
          <w:kern w:val="2"/>
          <w:sz w:val="21"/>
          <w:szCs w:val="21"/>
          <w:highlight w:val="none"/>
        </w:rPr>
      </w:pPr>
      <w:r>
        <w:rPr>
          <w:rFonts w:hint="eastAsia" w:ascii="宋体" w:hAnsi="宋体" w:eastAsia="宋体" w:cs="宋体"/>
          <w:color w:val="auto"/>
          <w:kern w:val="2"/>
          <w:sz w:val="21"/>
          <w:szCs w:val="21"/>
          <w:highlight w:val="none"/>
        </w:rPr>
        <w:t>法定代表人（或授权代表）：</w:t>
      </w:r>
      <w:r>
        <w:rPr>
          <w:rFonts w:hint="eastAsia" w:ascii="宋体" w:hAnsi="宋体" w:eastAsia="宋体" w:cs="宋体"/>
          <w:color w:val="auto"/>
          <w:kern w:val="2"/>
          <w:sz w:val="21"/>
          <w:szCs w:val="21"/>
          <w:highlight w:val="none"/>
          <w:u w:val="single"/>
        </w:rPr>
        <w:t xml:space="preserve">   </w:t>
      </w:r>
      <w:r>
        <w:rPr>
          <w:rFonts w:hint="eastAsia" w:ascii="宋体" w:hAnsi="宋体" w:eastAsia="宋体" w:cs="宋体"/>
          <w:color w:val="auto"/>
          <w:kern w:val="2"/>
          <w:sz w:val="21"/>
          <w:szCs w:val="21"/>
          <w:highlight w:val="none"/>
          <w:u w:val="single"/>
          <w:lang w:val="en-US" w:eastAsia="zh-CN"/>
        </w:rPr>
        <w:t xml:space="preserve">    </w:t>
      </w:r>
      <w:r>
        <w:rPr>
          <w:rFonts w:hint="eastAsia" w:ascii="宋体" w:hAnsi="宋体" w:eastAsia="宋体" w:cs="宋体"/>
          <w:color w:val="auto"/>
          <w:kern w:val="2"/>
          <w:sz w:val="21"/>
          <w:szCs w:val="21"/>
          <w:highlight w:val="none"/>
          <w:u w:val="single"/>
        </w:rPr>
        <w:t xml:space="preserve"> </w:t>
      </w:r>
      <w:r>
        <w:rPr>
          <w:rFonts w:hint="eastAsia" w:ascii="宋体" w:hAnsi="宋体" w:eastAsia="宋体" w:cs="宋体"/>
          <w:color w:val="auto"/>
          <w:kern w:val="2"/>
          <w:sz w:val="21"/>
          <w:szCs w:val="21"/>
          <w:highlight w:val="none"/>
        </w:rPr>
        <w:t>（</w:t>
      </w:r>
      <w:r>
        <w:rPr>
          <w:rFonts w:hint="eastAsia" w:ascii="宋体" w:hAnsi="宋体" w:eastAsia="宋体" w:cs="宋体"/>
          <w:color w:val="auto"/>
          <w:kern w:val="2"/>
          <w:sz w:val="21"/>
          <w:szCs w:val="21"/>
          <w:highlight w:val="none"/>
          <w:lang w:eastAsia="zh-CN"/>
        </w:rPr>
        <w:t>签名或盖个人名章</w:t>
      </w:r>
      <w:r>
        <w:rPr>
          <w:rFonts w:hint="eastAsia" w:ascii="宋体" w:hAnsi="宋体" w:eastAsia="宋体" w:cs="宋体"/>
          <w:color w:val="auto"/>
          <w:kern w:val="2"/>
          <w:sz w:val="21"/>
          <w:szCs w:val="21"/>
          <w:highlight w:val="none"/>
        </w:rPr>
        <w:t>）</w:t>
      </w:r>
    </w:p>
    <w:p w14:paraId="153031AF">
      <w:pPr>
        <w:keepNext w:val="0"/>
        <w:keepLines w:val="0"/>
        <w:pageBreakBefore w:val="0"/>
        <w:widowControl w:val="0"/>
        <w:shd w:val="clear"/>
        <w:kinsoku/>
        <w:wordWrap/>
        <w:overflowPunct w:val="0"/>
        <w:topLinePunct w:val="0"/>
        <w:autoSpaceDE/>
        <w:autoSpaceDN/>
        <w:bidi w:val="0"/>
        <w:adjustRightInd/>
        <w:snapToGrid/>
        <w:spacing w:beforeLines="0" w:line="360" w:lineRule="auto"/>
        <w:ind w:right="0" w:rightChars="0" w:firstLine="420" w:firstLineChars="200"/>
        <w:textAlignment w:val="auto"/>
        <w:outlineLvl w:val="9"/>
        <w:rPr>
          <w:rFonts w:hint="eastAsia" w:ascii="宋体" w:hAnsi="宋体" w:eastAsia="宋体" w:cs="宋体"/>
          <w:color w:val="auto"/>
          <w:kern w:val="2"/>
          <w:sz w:val="21"/>
          <w:szCs w:val="21"/>
          <w:highlight w:val="none"/>
        </w:rPr>
      </w:pPr>
      <w:r>
        <w:rPr>
          <w:rFonts w:hint="eastAsia" w:ascii="宋体" w:hAnsi="宋体" w:eastAsia="宋体" w:cs="宋体"/>
          <w:color w:val="auto"/>
          <w:kern w:val="2"/>
          <w:sz w:val="21"/>
          <w:szCs w:val="21"/>
          <w:highlight w:val="none"/>
        </w:rPr>
        <w:t>地    址：</w:t>
      </w:r>
      <w:r>
        <w:rPr>
          <w:rFonts w:hint="eastAsia" w:ascii="宋体" w:hAnsi="宋体" w:eastAsia="宋体" w:cs="宋体"/>
          <w:color w:val="auto"/>
          <w:kern w:val="2"/>
          <w:sz w:val="21"/>
          <w:szCs w:val="21"/>
          <w:highlight w:val="none"/>
          <w:u w:val="single"/>
        </w:rPr>
        <w:t xml:space="preserve">                                </w:t>
      </w:r>
      <w:r>
        <w:rPr>
          <w:rFonts w:hint="eastAsia" w:ascii="宋体" w:hAnsi="宋体" w:eastAsia="宋体" w:cs="宋体"/>
          <w:color w:val="auto"/>
          <w:kern w:val="2"/>
          <w:sz w:val="21"/>
          <w:szCs w:val="21"/>
          <w:highlight w:val="none"/>
          <w:u w:val="single"/>
          <w:lang w:val="en-US" w:eastAsia="zh-CN"/>
        </w:rPr>
        <w:t xml:space="preserve">          </w:t>
      </w:r>
      <w:r>
        <w:rPr>
          <w:rFonts w:hint="eastAsia" w:ascii="宋体" w:hAnsi="宋体" w:eastAsia="宋体" w:cs="宋体"/>
          <w:color w:val="auto"/>
          <w:kern w:val="2"/>
          <w:sz w:val="21"/>
          <w:szCs w:val="21"/>
          <w:highlight w:val="none"/>
        </w:rPr>
        <w:t xml:space="preserve"> </w:t>
      </w:r>
    </w:p>
    <w:p w14:paraId="488335C7">
      <w:pPr>
        <w:keepNext w:val="0"/>
        <w:keepLines w:val="0"/>
        <w:pageBreakBefore w:val="0"/>
        <w:widowControl w:val="0"/>
        <w:shd w:val="clear"/>
        <w:kinsoku/>
        <w:wordWrap/>
        <w:overflowPunct w:val="0"/>
        <w:topLinePunct w:val="0"/>
        <w:autoSpaceDE/>
        <w:autoSpaceDN/>
        <w:bidi w:val="0"/>
        <w:adjustRightInd/>
        <w:snapToGrid/>
        <w:spacing w:beforeLines="0" w:line="360" w:lineRule="auto"/>
        <w:ind w:right="0" w:rightChars="0" w:firstLine="420" w:firstLineChars="200"/>
        <w:textAlignment w:val="auto"/>
        <w:outlineLvl w:val="9"/>
        <w:rPr>
          <w:rFonts w:hint="eastAsia" w:ascii="宋体" w:hAnsi="宋体" w:eastAsia="宋体" w:cs="宋体"/>
          <w:color w:val="auto"/>
          <w:kern w:val="2"/>
          <w:sz w:val="21"/>
          <w:szCs w:val="21"/>
          <w:highlight w:val="none"/>
        </w:rPr>
      </w:pPr>
      <w:r>
        <w:rPr>
          <w:rFonts w:hint="eastAsia" w:ascii="宋体" w:hAnsi="宋体" w:eastAsia="宋体" w:cs="宋体"/>
          <w:color w:val="auto"/>
          <w:kern w:val="2"/>
          <w:sz w:val="21"/>
          <w:szCs w:val="21"/>
          <w:highlight w:val="none"/>
        </w:rPr>
        <w:t>邮政编码：</w:t>
      </w:r>
      <w:r>
        <w:rPr>
          <w:rFonts w:hint="eastAsia" w:ascii="宋体" w:hAnsi="宋体" w:eastAsia="宋体" w:cs="宋体"/>
          <w:color w:val="auto"/>
          <w:kern w:val="2"/>
          <w:sz w:val="21"/>
          <w:szCs w:val="21"/>
          <w:highlight w:val="none"/>
          <w:u w:val="single"/>
        </w:rPr>
        <w:t xml:space="preserve">                                </w:t>
      </w:r>
      <w:r>
        <w:rPr>
          <w:rFonts w:hint="eastAsia" w:ascii="宋体" w:hAnsi="宋体" w:eastAsia="宋体" w:cs="宋体"/>
          <w:color w:val="auto"/>
          <w:kern w:val="2"/>
          <w:sz w:val="21"/>
          <w:szCs w:val="21"/>
          <w:highlight w:val="none"/>
          <w:u w:val="single"/>
          <w:lang w:val="en-US" w:eastAsia="zh-CN"/>
        </w:rPr>
        <w:t xml:space="preserve">          </w:t>
      </w:r>
      <w:r>
        <w:rPr>
          <w:rFonts w:hint="eastAsia" w:ascii="宋体" w:hAnsi="宋体" w:eastAsia="宋体" w:cs="宋体"/>
          <w:color w:val="auto"/>
          <w:kern w:val="2"/>
          <w:sz w:val="21"/>
          <w:szCs w:val="21"/>
          <w:highlight w:val="none"/>
        </w:rPr>
        <w:t xml:space="preserve"> </w:t>
      </w:r>
    </w:p>
    <w:p w14:paraId="15F1EE4D">
      <w:pPr>
        <w:keepNext w:val="0"/>
        <w:keepLines w:val="0"/>
        <w:pageBreakBefore w:val="0"/>
        <w:widowControl w:val="0"/>
        <w:shd w:val="clear"/>
        <w:kinsoku/>
        <w:wordWrap/>
        <w:overflowPunct w:val="0"/>
        <w:topLinePunct w:val="0"/>
        <w:autoSpaceDE/>
        <w:autoSpaceDN/>
        <w:bidi w:val="0"/>
        <w:adjustRightInd/>
        <w:snapToGrid/>
        <w:spacing w:beforeLines="0" w:line="360" w:lineRule="auto"/>
        <w:ind w:right="0" w:rightChars="0" w:firstLine="420" w:firstLineChars="200"/>
        <w:textAlignment w:val="auto"/>
        <w:outlineLvl w:val="9"/>
        <w:rPr>
          <w:rFonts w:hint="eastAsia" w:ascii="宋体" w:hAnsi="宋体" w:eastAsia="宋体" w:cs="宋体"/>
          <w:color w:val="auto"/>
          <w:kern w:val="2"/>
          <w:sz w:val="21"/>
          <w:szCs w:val="21"/>
          <w:highlight w:val="none"/>
        </w:rPr>
      </w:pPr>
      <w:r>
        <w:rPr>
          <w:rFonts w:hint="eastAsia" w:ascii="宋体" w:hAnsi="宋体" w:eastAsia="宋体" w:cs="宋体"/>
          <w:color w:val="auto"/>
          <w:kern w:val="2"/>
          <w:sz w:val="21"/>
          <w:szCs w:val="21"/>
          <w:highlight w:val="none"/>
        </w:rPr>
        <w:t>电    话：</w:t>
      </w:r>
      <w:r>
        <w:rPr>
          <w:rFonts w:hint="eastAsia" w:ascii="宋体" w:hAnsi="宋体" w:eastAsia="宋体" w:cs="宋体"/>
          <w:color w:val="auto"/>
          <w:kern w:val="2"/>
          <w:sz w:val="21"/>
          <w:szCs w:val="21"/>
          <w:highlight w:val="none"/>
          <w:u w:val="single"/>
        </w:rPr>
        <w:t xml:space="preserve">                                </w:t>
      </w:r>
      <w:r>
        <w:rPr>
          <w:rFonts w:hint="eastAsia" w:ascii="宋体" w:hAnsi="宋体" w:eastAsia="宋体" w:cs="宋体"/>
          <w:color w:val="auto"/>
          <w:kern w:val="2"/>
          <w:sz w:val="21"/>
          <w:szCs w:val="21"/>
          <w:highlight w:val="none"/>
          <w:u w:val="single"/>
          <w:lang w:val="en-US" w:eastAsia="zh-CN"/>
        </w:rPr>
        <w:t xml:space="preserve">          </w:t>
      </w:r>
      <w:r>
        <w:rPr>
          <w:rFonts w:hint="eastAsia" w:ascii="宋体" w:hAnsi="宋体" w:eastAsia="宋体" w:cs="宋体"/>
          <w:color w:val="auto"/>
          <w:kern w:val="2"/>
          <w:sz w:val="21"/>
          <w:szCs w:val="21"/>
          <w:highlight w:val="none"/>
        </w:rPr>
        <w:t xml:space="preserve"> </w:t>
      </w:r>
    </w:p>
    <w:p w14:paraId="3E45924F">
      <w:pPr>
        <w:keepNext w:val="0"/>
        <w:keepLines w:val="0"/>
        <w:pageBreakBefore w:val="0"/>
        <w:widowControl w:val="0"/>
        <w:shd w:val="clear"/>
        <w:kinsoku/>
        <w:wordWrap/>
        <w:overflowPunct w:val="0"/>
        <w:topLinePunct w:val="0"/>
        <w:autoSpaceDE/>
        <w:autoSpaceDN/>
        <w:bidi w:val="0"/>
        <w:adjustRightInd/>
        <w:snapToGrid/>
        <w:spacing w:beforeLines="0" w:line="360" w:lineRule="auto"/>
        <w:ind w:right="0" w:rightChars="0" w:firstLine="420" w:firstLineChars="200"/>
        <w:textAlignment w:val="auto"/>
        <w:outlineLvl w:val="9"/>
        <w:rPr>
          <w:rFonts w:hint="eastAsia" w:ascii="宋体" w:hAnsi="宋体" w:eastAsia="宋体" w:cs="宋体"/>
          <w:color w:val="auto"/>
          <w:kern w:val="2"/>
          <w:sz w:val="21"/>
          <w:szCs w:val="21"/>
          <w:highlight w:val="none"/>
        </w:rPr>
      </w:pPr>
      <w:r>
        <w:rPr>
          <w:rFonts w:hint="eastAsia" w:ascii="宋体" w:hAnsi="宋体" w:eastAsia="宋体" w:cs="宋体"/>
          <w:color w:val="auto"/>
          <w:kern w:val="2"/>
          <w:sz w:val="21"/>
          <w:szCs w:val="21"/>
          <w:highlight w:val="none"/>
        </w:rPr>
        <w:t>传    真：</w:t>
      </w:r>
      <w:r>
        <w:rPr>
          <w:rFonts w:hint="eastAsia" w:ascii="宋体" w:hAnsi="宋体" w:eastAsia="宋体" w:cs="宋体"/>
          <w:color w:val="auto"/>
          <w:kern w:val="2"/>
          <w:sz w:val="21"/>
          <w:szCs w:val="21"/>
          <w:highlight w:val="none"/>
          <w:u w:val="single"/>
        </w:rPr>
        <w:t xml:space="preserve">                                </w:t>
      </w:r>
      <w:r>
        <w:rPr>
          <w:rFonts w:hint="eastAsia" w:ascii="宋体" w:hAnsi="宋体" w:eastAsia="宋体" w:cs="宋体"/>
          <w:color w:val="auto"/>
          <w:kern w:val="2"/>
          <w:sz w:val="21"/>
          <w:szCs w:val="21"/>
          <w:highlight w:val="none"/>
          <w:u w:val="single"/>
          <w:lang w:val="en-US" w:eastAsia="zh-CN"/>
        </w:rPr>
        <w:t xml:space="preserve">          </w:t>
      </w:r>
      <w:r>
        <w:rPr>
          <w:rFonts w:hint="eastAsia" w:ascii="宋体" w:hAnsi="宋体" w:eastAsia="宋体" w:cs="宋体"/>
          <w:color w:val="auto"/>
          <w:kern w:val="2"/>
          <w:sz w:val="21"/>
          <w:szCs w:val="21"/>
          <w:highlight w:val="none"/>
        </w:rPr>
        <w:t xml:space="preserve"> </w:t>
      </w:r>
    </w:p>
    <w:p w14:paraId="2281CE8A">
      <w:pPr>
        <w:ind w:firstLine="420" w:firstLineChars="200"/>
        <w:rPr>
          <w:rFonts w:hint="eastAsia" w:ascii="宋体" w:hAnsi="宋体" w:eastAsia="宋体" w:cs="宋体"/>
          <w:color w:val="auto"/>
          <w:sz w:val="21"/>
          <w:szCs w:val="21"/>
          <w:highlight w:val="none"/>
        </w:rPr>
      </w:pPr>
      <w:r>
        <w:rPr>
          <w:rFonts w:hint="eastAsia" w:ascii="宋体" w:hAnsi="宋体" w:eastAsia="宋体" w:cs="宋体"/>
          <w:color w:val="auto"/>
          <w:kern w:val="2"/>
          <w:sz w:val="21"/>
          <w:szCs w:val="21"/>
          <w:highlight w:val="none"/>
        </w:rPr>
        <w:t xml:space="preserve">开立时间：    年    月    </w:t>
      </w:r>
      <w:r>
        <w:rPr>
          <w:rFonts w:hint="eastAsia" w:ascii="宋体" w:hAnsi="宋体" w:eastAsia="宋体" w:cs="宋体"/>
          <w:color w:val="auto"/>
          <w:sz w:val="21"/>
          <w:szCs w:val="21"/>
          <w:highlight w:val="none"/>
        </w:rPr>
        <w:t>日</w:t>
      </w:r>
    </w:p>
    <w:p w14:paraId="211FFC05">
      <w:pPr>
        <w:rPr>
          <w:color w:val="auto"/>
          <w:highlight w:val="none"/>
        </w:rPr>
      </w:pPr>
    </w:p>
    <w:p w14:paraId="528E08D7">
      <w:pPr>
        <w:pStyle w:val="2"/>
        <w:rPr>
          <w:rFonts w:ascii="宋体" w:hAnsi="宋体"/>
          <w:color w:val="auto"/>
          <w:sz w:val="24"/>
          <w:highlight w:val="none"/>
        </w:rPr>
      </w:pPr>
    </w:p>
    <w:p w14:paraId="2FD77B3A">
      <w:pPr>
        <w:snapToGrid w:val="0"/>
        <w:spacing w:line="360" w:lineRule="auto"/>
        <w:ind w:firstLine="560"/>
        <w:rPr>
          <w:rFonts w:ascii="宋体" w:hAnsi="宋体"/>
          <w:color w:val="auto"/>
          <w:szCs w:val="21"/>
          <w:highlight w:val="none"/>
        </w:rPr>
      </w:pPr>
    </w:p>
    <w:p w14:paraId="285D497F">
      <w:pPr>
        <w:spacing w:line="360" w:lineRule="auto"/>
        <w:jc w:val="center"/>
        <w:outlineLvl w:val="0"/>
        <w:rPr>
          <w:rFonts w:hint="eastAsia" w:ascii="宋体" w:hAnsi="宋体" w:cs="宋体"/>
          <w:b/>
          <w:color w:val="auto"/>
          <w:sz w:val="48"/>
          <w:szCs w:val="48"/>
          <w:highlight w:val="none"/>
        </w:rPr>
      </w:pPr>
      <w:r>
        <w:rPr>
          <w:rFonts w:hint="eastAsia" w:ascii="宋体" w:hAnsi="宋体"/>
          <w:color w:val="auto"/>
          <w:szCs w:val="21"/>
          <w:highlight w:val="none"/>
        </w:rPr>
        <w:br w:type="page"/>
      </w:r>
      <w:bookmarkStart w:id="1511" w:name="_Toc8373"/>
      <w:bookmarkStart w:id="1512" w:name="_Toc23461"/>
      <w:r>
        <w:rPr>
          <w:rFonts w:hint="eastAsia" w:ascii="宋体" w:hAnsi="宋体" w:cs="宋体"/>
          <w:b/>
          <w:color w:val="auto"/>
          <w:sz w:val="48"/>
          <w:szCs w:val="48"/>
          <w:highlight w:val="none"/>
        </w:rPr>
        <w:t>第五章 工程量清单和图纸</w:t>
      </w:r>
      <w:bookmarkEnd w:id="1511"/>
      <w:bookmarkEnd w:id="1512"/>
    </w:p>
    <w:bookmarkEnd w:id="228"/>
    <w:bookmarkEnd w:id="229"/>
    <w:p w14:paraId="12C328A9">
      <w:pPr>
        <w:snapToGrid w:val="0"/>
        <w:spacing w:line="360" w:lineRule="auto"/>
        <w:jc w:val="center"/>
        <w:rPr>
          <w:rFonts w:ascii="宋体" w:hAnsi="宋体" w:cs="宋体"/>
          <w:b/>
          <w:color w:val="auto"/>
          <w:sz w:val="28"/>
          <w:szCs w:val="28"/>
          <w:highlight w:val="none"/>
        </w:rPr>
      </w:pPr>
      <w:bookmarkStart w:id="1513" w:name="A29"/>
      <w:r>
        <w:rPr>
          <w:rFonts w:hint="eastAsia" w:ascii="宋体" w:hAnsi="宋体" w:cs="宋体"/>
          <w:snapToGrid w:val="0"/>
          <w:color w:val="auto"/>
          <w:kern w:val="0"/>
          <w:szCs w:val="21"/>
          <w:highlight w:val="none"/>
        </w:rPr>
        <w:t>（在</w:t>
      </w:r>
      <w:r>
        <w:rPr>
          <w:rFonts w:hint="eastAsia" w:ascii="宋体" w:hAnsi="宋体" w:cs="宋体"/>
          <w:snapToGrid w:val="0"/>
          <w:color w:val="auto"/>
          <w:kern w:val="0"/>
          <w:szCs w:val="21"/>
          <w:highlight w:val="none"/>
          <w:lang w:val="en-US" w:eastAsia="zh-CN"/>
        </w:rPr>
        <w:t>重庆市医药卫生学校官网</w:t>
      </w:r>
      <w:r>
        <w:rPr>
          <w:rFonts w:hint="eastAsia" w:ascii="宋体" w:hAnsi="宋体" w:cs="宋体"/>
          <w:snapToGrid w:val="0"/>
          <w:color w:val="auto"/>
          <w:kern w:val="0"/>
          <w:szCs w:val="21"/>
          <w:highlight w:val="none"/>
        </w:rPr>
        <w:t>)（https://cqsmhs.cn/html/index.html）下载</w:t>
      </w:r>
      <w:r>
        <w:rPr>
          <w:rFonts w:hint="eastAsia" w:ascii="宋体" w:hAnsi="宋体" w:cs="宋体"/>
          <w:color w:val="auto"/>
          <w:szCs w:val="21"/>
          <w:highlight w:val="none"/>
        </w:rPr>
        <w:t>）</w:t>
      </w:r>
    </w:p>
    <w:p w14:paraId="199654F8">
      <w:pPr>
        <w:snapToGrid w:val="0"/>
        <w:spacing w:line="360" w:lineRule="auto"/>
        <w:rPr>
          <w:rFonts w:ascii="宋体" w:hAnsi="宋体" w:cs="宋体"/>
          <w:color w:val="auto"/>
          <w:highlight w:val="none"/>
        </w:rPr>
      </w:pPr>
    </w:p>
    <w:p w14:paraId="59A13027">
      <w:pPr>
        <w:snapToGrid w:val="0"/>
        <w:spacing w:line="360" w:lineRule="auto"/>
        <w:rPr>
          <w:rFonts w:ascii="宋体" w:hAnsi="宋体" w:cs="宋体"/>
          <w:color w:val="auto"/>
          <w:highlight w:val="none"/>
        </w:rPr>
      </w:pPr>
      <w:r>
        <w:rPr>
          <w:rFonts w:hint="eastAsia" w:ascii="宋体" w:hAnsi="宋体" w:cs="宋体"/>
          <w:color w:val="auto"/>
          <w:highlight w:val="none"/>
        </w:rPr>
        <w:br w:type="page"/>
      </w:r>
    </w:p>
    <w:p w14:paraId="0E049371">
      <w:pPr>
        <w:spacing w:line="360" w:lineRule="auto"/>
        <w:jc w:val="center"/>
        <w:outlineLvl w:val="0"/>
        <w:rPr>
          <w:rFonts w:ascii="宋体" w:hAnsi="宋体" w:cs="宋体"/>
          <w:b/>
          <w:color w:val="auto"/>
          <w:kern w:val="0"/>
          <w:sz w:val="44"/>
          <w:szCs w:val="44"/>
          <w:highlight w:val="none"/>
        </w:rPr>
      </w:pPr>
      <w:bookmarkStart w:id="1514" w:name="_Toc23105"/>
      <w:r>
        <w:rPr>
          <w:rFonts w:hint="eastAsia" w:ascii="宋体" w:hAnsi="宋体" w:cs="宋体"/>
          <w:b/>
          <w:color w:val="auto"/>
          <w:sz w:val="48"/>
          <w:szCs w:val="48"/>
          <w:highlight w:val="none"/>
        </w:rPr>
        <w:t>第六章</w:t>
      </w:r>
      <w:bookmarkEnd w:id="1513"/>
      <w:bookmarkStart w:id="1515" w:name="A30"/>
      <w:r>
        <w:rPr>
          <w:rFonts w:hint="eastAsia" w:ascii="宋体" w:hAnsi="宋体" w:cs="宋体"/>
          <w:b/>
          <w:color w:val="auto"/>
          <w:sz w:val="48"/>
          <w:szCs w:val="48"/>
          <w:highlight w:val="none"/>
        </w:rPr>
        <w:t xml:space="preserve">  </w:t>
      </w:r>
      <w:r>
        <w:rPr>
          <w:rFonts w:hint="eastAsia" w:ascii="宋体" w:hAnsi="宋体" w:cs="宋体"/>
          <w:b/>
          <w:color w:val="auto"/>
          <w:kern w:val="0"/>
          <w:sz w:val="44"/>
          <w:szCs w:val="44"/>
          <w:highlight w:val="none"/>
        </w:rPr>
        <w:t>技术标准和要求</w:t>
      </w:r>
      <w:bookmarkEnd w:id="1514"/>
    </w:p>
    <w:bookmarkEnd w:id="1515"/>
    <w:p w14:paraId="0EC67AD2">
      <w:pPr>
        <w:rPr>
          <w:rFonts w:ascii="宋体" w:hAnsi="宋体" w:cs="宋体"/>
          <w:color w:val="auto"/>
          <w:highlight w:val="none"/>
        </w:rPr>
      </w:pPr>
      <w:bookmarkStart w:id="1516" w:name="A35"/>
      <w:bookmarkStart w:id="1517" w:name="_Toc224103485"/>
      <w:r>
        <w:rPr>
          <w:rFonts w:hint="eastAsia" w:ascii="宋体" w:hAnsi="宋体" w:cs="宋体"/>
          <w:color w:val="auto"/>
          <w:highlight w:val="none"/>
        </w:rPr>
        <w:br w:type="page"/>
      </w:r>
    </w:p>
    <w:p w14:paraId="06165C9A">
      <w:pPr>
        <w:rPr>
          <w:rFonts w:ascii="宋体" w:hAnsi="宋体" w:cs="宋体"/>
          <w:color w:val="auto"/>
          <w:highlight w:val="none"/>
        </w:rPr>
      </w:pPr>
    </w:p>
    <w:p w14:paraId="7E139EA1">
      <w:pPr>
        <w:jc w:val="center"/>
        <w:outlineLvl w:val="0"/>
        <w:rPr>
          <w:rFonts w:ascii="宋体" w:hAnsi="宋体" w:cs="宋体"/>
          <w:b/>
          <w:color w:val="auto"/>
          <w:sz w:val="44"/>
          <w:szCs w:val="44"/>
          <w:highlight w:val="none"/>
        </w:rPr>
        <w:sectPr>
          <w:headerReference r:id="rId15" w:type="first"/>
          <w:footerReference r:id="rId18" w:type="first"/>
          <w:headerReference r:id="rId13" w:type="default"/>
          <w:footerReference r:id="rId16" w:type="default"/>
          <w:headerReference r:id="rId14" w:type="even"/>
          <w:footerReference r:id="rId17" w:type="even"/>
          <w:pgSz w:w="11906" w:h="16838"/>
          <w:pgMar w:top="1440" w:right="1080" w:bottom="1440" w:left="1080" w:header="851" w:footer="992" w:gutter="0"/>
          <w:cols w:space="720" w:num="1"/>
          <w:docGrid w:linePitch="312" w:charSpace="0"/>
        </w:sectPr>
      </w:pPr>
      <w:bookmarkStart w:id="1518" w:name="_Toc20838"/>
      <w:r>
        <w:rPr>
          <w:rFonts w:hint="eastAsia" w:ascii="宋体" w:hAnsi="宋体" w:cs="宋体"/>
          <w:b/>
          <w:color w:val="auto"/>
          <w:sz w:val="44"/>
          <w:szCs w:val="44"/>
          <w:highlight w:val="none"/>
        </w:rPr>
        <w:t>第七章 竞选文件格</w:t>
      </w:r>
      <w:bookmarkEnd w:id="1516"/>
      <w:r>
        <w:rPr>
          <w:rFonts w:hint="eastAsia" w:ascii="宋体" w:hAnsi="宋体" w:cs="宋体"/>
          <w:b/>
          <w:color w:val="auto"/>
          <w:sz w:val="44"/>
          <w:szCs w:val="44"/>
          <w:highlight w:val="none"/>
        </w:rPr>
        <w:t>式</w:t>
      </w:r>
      <w:bookmarkEnd w:id="1518"/>
    </w:p>
    <w:bookmarkEnd w:id="1517"/>
    <w:p w14:paraId="4CE4B9E3">
      <w:pPr>
        <w:spacing w:line="500" w:lineRule="exact"/>
        <w:rPr>
          <w:rFonts w:hint="eastAsia" w:ascii="宋体" w:hAnsi="宋体"/>
          <w:highlight w:val="none"/>
        </w:rPr>
      </w:pPr>
      <w:bookmarkStart w:id="1519" w:name="_Toc248058296"/>
      <w:bookmarkStart w:id="1520" w:name="_Toc209605679"/>
      <w:r>
        <w:rPr>
          <w:rFonts w:hint="eastAsia" w:ascii="宋体" w:hAnsi="宋体"/>
          <w:spacing w:val="-4"/>
          <w:szCs w:val="21"/>
          <w:highlight w:val="none"/>
        </w:rPr>
        <w:t>“</w:t>
      </w:r>
      <w:r>
        <w:rPr>
          <w:rFonts w:hint="eastAsia" w:ascii="宋体" w:hAnsi="宋体"/>
          <w:b/>
          <w:highlight w:val="none"/>
        </w:rPr>
        <w:t>投标文件</w:t>
      </w:r>
      <w:r>
        <w:rPr>
          <w:rFonts w:hint="eastAsia" w:ascii="宋体" w:hAnsi="宋体"/>
          <w:szCs w:val="21"/>
          <w:highlight w:val="none"/>
        </w:rPr>
        <w:t>”</w:t>
      </w:r>
      <w:r>
        <w:rPr>
          <w:rFonts w:hint="eastAsia" w:ascii="宋体" w:hAnsi="宋体"/>
          <w:highlight w:val="none"/>
        </w:rPr>
        <w:t>袋封面格式：</w:t>
      </w:r>
    </w:p>
    <w:p w14:paraId="1CF0DB9B">
      <w:pPr>
        <w:spacing w:line="500" w:lineRule="exact"/>
        <w:rPr>
          <w:rFonts w:hint="eastAsia" w:ascii="宋体" w:hAnsi="宋体"/>
          <w:b/>
          <w:bCs/>
          <w:w w:val="90"/>
          <w:sz w:val="44"/>
          <w:szCs w:val="44"/>
          <w:highlight w:val="none"/>
        </w:rPr>
      </w:pPr>
    </w:p>
    <w:p w14:paraId="53F8B3E1">
      <w:pPr>
        <w:spacing w:line="500" w:lineRule="exact"/>
        <w:jc w:val="center"/>
        <w:rPr>
          <w:rFonts w:hint="eastAsia" w:ascii="宋体" w:hAnsi="宋体"/>
          <w:b/>
          <w:sz w:val="84"/>
          <w:szCs w:val="84"/>
          <w:highlight w:val="none"/>
        </w:rPr>
      </w:pPr>
      <w:r>
        <w:rPr>
          <w:rFonts w:hint="eastAsia" w:ascii="宋体" w:hAnsi="宋体"/>
          <w:b/>
          <w:sz w:val="32"/>
          <w:szCs w:val="32"/>
          <w:highlight w:val="none"/>
          <w:lang w:eastAsia="zh-CN"/>
        </w:rPr>
        <w:t>重庆市医药卫生学校附属医院广场路面维修改造项目</w:t>
      </w:r>
    </w:p>
    <w:p w14:paraId="21864B71">
      <w:pPr>
        <w:spacing w:line="500" w:lineRule="exact"/>
        <w:jc w:val="center"/>
        <w:rPr>
          <w:rFonts w:hint="eastAsia" w:ascii="宋体" w:hAnsi="宋体"/>
          <w:b/>
          <w:sz w:val="84"/>
          <w:szCs w:val="84"/>
          <w:highlight w:val="none"/>
        </w:rPr>
      </w:pPr>
    </w:p>
    <w:p w14:paraId="63F0EB0E">
      <w:pPr>
        <w:spacing w:line="500" w:lineRule="exact"/>
        <w:jc w:val="center"/>
        <w:rPr>
          <w:rFonts w:hint="eastAsia" w:ascii="宋体" w:hAnsi="宋体"/>
          <w:b/>
          <w:sz w:val="84"/>
          <w:szCs w:val="84"/>
          <w:highlight w:val="none"/>
        </w:rPr>
      </w:pPr>
    </w:p>
    <w:p w14:paraId="12AD86CE">
      <w:pPr>
        <w:spacing w:line="800" w:lineRule="exact"/>
        <w:jc w:val="center"/>
        <w:rPr>
          <w:rFonts w:hint="eastAsia" w:ascii="宋体" w:hAnsi="宋体"/>
          <w:b/>
          <w:sz w:val="84"/>
          <w:szCs w:val="84"/>
          <w:highlight w:val="none"/>
        </w:rPr>
      </w:pPr>
      <w:r>
        <w:rPr>
          <w:rFonts w:ascii="宋体" w:hAnsi="宋体"/>
          <w:b/>
          <w:sz w:val="84"/>
          <w:szCs w:val="84"/>
          <w:highlight w:val="none"/>
        </w:rPr>
        <w:t>投 标 文 件</w:t>
      </w:r>
    </w:p>
    <w:p w14:paraId="326F43D7">
      <w:pPr>
        <w:spacing w:line="500" w:lineRule="exact"/>
        <w:jc w:val="center"/>
        <w:rPr>
          <w:rFonts w:hint="eastAsia" w:ascii="宋体" w:hAnsi="宋体"/>
          <w:szCs w:val="44"/>
          <w:highlight w:val="none"/>
        </w:rPr>
      </w:pPr>
    </w:p>
    <w:p w14:paraId="54D00017">
      <w:pPr>
        <w:spacing w:line="500" w:lineRule="exact"/>
        <w:ind w:firstLine="420" w:firstLineChars="200"/>
        <w:jc w:val="center"/>
        <w:rPr>
          <w:rFonts w:hint="eastAsia" w:ascii="宋体" w:hAnsi="宋体"/>
          <w:szCs w:val="44"/>
          <w:highlight w:val="none"/>
        </w:rPr>
      </w:pPr>
    </w:p>
    <w:p w14:paraId="2523AE17">
      <w:pPr>
        <w:spacing w:line="500" w:lineRule="exact"/>
        <w:ind w:firstLine="420" w:firstLineChars="200"/>
        <w:jc w:val="center"/>
        <w:rPr>
          <w:rFonts w:hint="eastAsia" w:ascii="宋体" w:hAnsi="宋体"/>
          <w:szCs w:val="44"/>
          <w:highlight w:val="none"/>
        </w:rPr>
      </w:pPr>
    </w:p>
    <w:p w14:paraId="02B4CF3E">
      <w:pPr>
        <w:spacing w:line="500" w:lineRule="exact"/>
        <w:rPr>
          <w:rFonts w:hint="eastAsia" w:ascii="宋体" w:hAnsi="宋体"/>
          <w:sz w:val="32"/>
          <w:szCs w:val="32"/>
          <w:highlight w:val="none"/>
        </w:rPr>
      </w:pPr>
    </w:p>
    <w:p w14:paraId="6997EB05">
      <w:pPr>
        <w:spacing w:line="500" w:lineRule="exact"/>
        <w:rPr>
          <w:rFonts w:hint="eastAsia" w:ascii="宋体" w:hAnsi="宋体"/>
          <w:sz w:val="32"/>
          <w:szCs w:val="32"/>
          <w:highlight w:val="none"/>
        </w:rPr>
      </w:pPr>
    </w:p>
    <w:p w14:paraId="36D06A33">
      <w:pPr>
        <w:topLinePunct/>
        <w:spacing w:line="500" w:lineRule="exact"/>
        <w:rPr>
          <w:rFonts w:hint="eastAsia" w:ascii="宋体" w:hAnsi="宋体"/>
          <w:szCs w:val="21"/>
          <w:highlight w:val="none"/>
        </w:rPr>
      </w:pPr>
    </w:p>
    <w:p w14:paraId="0A84A93F">
      <w:pPr>
        <w:topLinePunct/>
        <w:spacing w:line="500" w:lineRule="exact"/>
        <w:ind w:firstLine="420" w:firstLineChars="200"/>
        <w:rPr>
          <w:rFonts w:hint="eastAsia" w:ascii="宋体" w:hAnsi="宋体"/>
          <w:szCs w:val="21"/>
          <w:highlight w:val="none"/>
        </w:rPr>
      </w:pPr>
    </w:p>
    <w:p w14:paraId="6D074064">
      <w:pPr>
        <w:tabs>
          <w:tab w:val="left" w:pos="1080"/>
        </w:tabs>
        <w:spacing w:line="500" w:lineRule="exact"/>
        <w:ind w:left="105" w:leftChars="50" w:firstLine="315" w:firstLineChars="150"/>
        <w:jc w:val="center"/>
        <w:rPr>
          <w:rFonts w:hint="eastAsia" w:ascii="宋体" w:hAnsi="宋体"/>
          <w:szCs w:val="21"/>
          <w:highlight w:val="none"/>
        </w:rPr>
      </w:pPr>
      <w:r>
        <w:rPr>
          <w:rFonts w:hint="eastAsia" w:ascii="宋体" w:hAnsi="宋体"/>
          <w:szCs w:val="21"/>
          <w:highlight w:val="none"/>
        </w:rPr>
        <w:t>在</w:t>
      </w:r>
      <w:r>
        <w:rPr>
          <w:rFonts w:hint="eastAsia" w:ascii="宋体" w:hAnsi="宋体"/>
          <w:szCs w:val="21"/>
          <w:highlight w:val="none"/>
          <w:u w:val="single"/>
          <w:lang w:val="en-US" w:eastAsia="zh-CN"/>
        </w:rPr>
        <w:t xml:space="preserve">      </w:t>
      </w:r>
      <w:r>
        <w:rPr>
          <w:rFonts w:hint="eastAsia" w:ascii="宋体" w:hAnsi="宋体"/>
          <w:szCs w:val="21"/>
          <w:highlight w:val="none"/>
        </w:rPr>
        <w:t>年</w:t>
      </w:r>
      <w:r>
        <w:rPr>
          <w:rFonts w:hint="eastAsia" w:ascii="宋体" w:hAnsi="宋体"/>
          <w:szCs w:val="21"/>
          <w:highlight w:val="none"/>
          <w:u w:val="single"/>
        </w:rPr>
        <w:t xml:space="preserve">   </w:t>
      </w:r>
      <w:r>
        <w:rPr>
          <w:rFonts w:hint="eastAsia" w:ascii="宋体" w:hAnsi="宋体"/>
          <w:szCs w:val="21"/>
          <w:highlight w:val="none"/>
        </w:rPr>
        <w:t xml:space="preserve">月 </w:t>
      </w:r>
      <w:r>
        <w:rPr>
          <w:rFonts w:hint="eastAsia" w:ascii="宋体" w:hAnsi="宋体"/>
          <w:szCs w:val="21"/>
          <w:highlight w:val="none"/>
          <w:u w:val="single"/>
        </w:rPr>
        <w:t xml:space="preserve">   </w:t>
      </w:r>
      <w:r>
        <w:rPr>
          <w:rFonts w:hint="eastAsia" w:ascii="宋体" w:hAnsi="宋体"/>
          <w:szCs w:val="21"/>
          <w:highlight w:val="none"/>
        </w:rPr>
        <w:t>日</w:t>
      </w:r>
      <w:r>
        <w:rPr>
          <w:rFonts w:hint="eastAsia" w:ascii="宋体" w:hAnsi="宋体"/>
          <w:szCs w:val="21"/>
          <w:highlight w:val="none"/>
          <w:u w:val="single"/>
        </w:rPr>
        <w:t xml:space="preserve">    </w:t>
      </w:r>
      <w:r>
        <w:rPr>
          <w:rFonts w:hint="eastAsia" w:ascii="宋体" w:hAnsi="宋体"/>
          <w:szCs w:val="21"/>
          <w:highlight w:val="none"/>
        </w:rPr>
        <w:t>时</w:t>
      </w:r>
      <w:r>
        <w:rPr>
          <w:rFonts w:hint="eastAsia" w:ascii="宋体" w:hAnsi="宋体"/>
          <w:szCs w:val="21"/>
          <w:highlight w:val="none"/>
          <w:u w:val="single"/>
        </w:rPr>
        <w:t xml:space="preserve">    </w:t>
      </w:r>
      <w:r>
        <w:rPr>
          <w:rFonts w:hint="eastAsia" w:ascii="宋体" w:hAnsi="宋体"/>
          <w:szCs w:val="21"/>
          <w:highlight w:val="none"/>
        </w:rPr>
        <w:t>分前不得开启</w:t>
      </w:r>
    </w:p>
    <w:p w14:paraId="6BF31420">
      <w:pPr>
        <w:autoSpaceDE w:val="0"/>
        <w:autoSpaceDN w:val="0"/>
        <w:adjustRightInd w:val="0"/>
        <w:snapToGrid w:val="0"/>
        <w:spacing w:line="500" w:lineRule="exact"/>
        <w:jc w:val="left"/>
        <w:rPr>
          <w:rFonts w:hint="eastAsia" w:ascii="宋体" w:hAnsi="宋体"/>
          <w:szCs w:val="21"/>
          <w:highlight w:val="none"/>
        </w:rPr>
      </w:pPr>
    </w:p>
    <w:p w14:paraId="740FC402">
      <w:pPr>
        <w:autoSpaceDE w:val="0"/>
        <w:autoSpaceDN w:val="0"/>
        <w:adjustRightInd w:val="0"/>
        <w:snapToGrid w:val="0"/>
        <w:spacing w:line="500" w:lineRule="exact"/>
        <w:jc w:val="left"/>
        <w:rPr>
          <w:rFonts w:hint="eastAsia" w:ascii="宋体" w:hAnsi="宋体"/>
          <w:szCs w:val="21"/>
          <w:highlight w:val="none"/>
        </w:rPr>
      </w:pPr>
    </w:p>
    <w:p w14:paraId="3409F2C6">
      <w:pPr>
        <w:autoSpaceDE w:val="0"/>
        <w:autoSpaceDN w:val="0"/>
        <w:adjustRightInd w:val="0"/>
        <w:snapToGrid w:val="0"/>
        <w:spacing w:line="500" w:lineRule="exact"/>
        <w:jc w:val="left"/>
        <w:rPr>
          <w:rFonts w:hint="eastAsia" w:ascii="宋体" w:hAnsi="宋体"/>
          <w:szCs w:val="21"/>
          <w:highlight w:val="none"/>
        </w:rPr>
      </w:pPr>
    </w:p>
    <w:p w14:paraId="453955C5">
      <w:pPr>
        <w:autoSpaceDE w:val="0"/>
        <w:autoSpaceDN w:val="0"/>
        <w:adjustRightInd w:val="0"/>
        <w:snapToGrid w:val="0"/>
        <w:spacing w:line="500" w:lineRule="exact"/>
        <w:jc w:val="left"/>
        <w:rPr>
          <w:rFonts w:hint="eastAsia" w:ascii="宋体" w:hAnsi="宋体" w:cs="MingLiU"/>
          <w:kern w:val="0"/>
          <w:sz w:val="20"/>
          <w:highlight w:val="none"/>
        </w:rPr>
      </w:pPr>
    </w:p>
    <w:p w14:paraId="58EED668">
      <w:pPr>
        <w:tabs>
          <w:tab w:val="left" w:pos="6080"/>
          <w:tab w:val="left" w:pos="6640"/>
        </w:tabs>
        <w:autoSpaceDE w:val="0"/>
        <w:autoSpaceDN w:val="0"/>
        <w:adjustRightInd w:val="0"/>
        <w:snapToGrid w:val="0"/>
        <w:spacing w:line="500" w:lineRule="exact"/>
        <w:ind w:firstLine="2066" w:firstLineChars="735"/>
        <w:rPr>
          <w:rFonts w:hint="eastAsia" w:ascii="宋体" w:hAnsi="宋体"/>
          <w:b/>
          <w:kern w:val="0"/>
          <w:sz w:val="28"/>
          <w:szCs w:val="28"/>
          <w:highlight w:val="none"/>
        </w:rPr>
      </w:pPr>
      <w:r>
        <w:rPr>
          <w:rFonts w:hint="eastAsia" w:ascii="宋体" w:hAnsi="宋体" w:cs="MingLiU"/>
          <w:b/>
          <w:kern w:val="0"/>
          <w:sz w:val="28"/>
          <w:szCs w:val="28"/>
          <w:highlight w:val="none"/>
        </w:rPr>
        <w:t>竞争性比选单位：</w:t>
      </w:r>
      <w:r>
        <w:rPr>
          <w:rFonts w:hint="eastAsia" w:ascii="宋体" w:hAnsi="宋体" w:cs="MingLiU"/>
          <w:b/>
          <w:kern w:val="0"/>
          <w:sz w:val="28"/>
          <w:szCs w:val="28"/>
          <w:highlight w:val="none"/>
          <w:u w:val="single"/>
        </w:rPr>
        <w:t xml:space="preserve"> 　             </w:t>
      </w:r>
      <w:r>
        <w:rPr>
          <w:rFonts w:hint="eastAsia" w:ascii="宋体" w:hAnsi="宋体" w:cs="MingLiU"/>
          <w:b/>
          <w:kern w:val="0"/>
          <w:sz w:val="28"/>
          <w:szCs w:val="28"/>
          <w:highlight w:val="none"/>
        </w:rPr>
        <w:t>（盖单位公章）</w:t>
      </w:r>
    </w:p>
    <w:p w14:paraId="52EC8610">
      <w:pPr>
        <w:tabs>
          <w:tab w:val="left" w:pos="6080"/>
          <w:tab w:val="left" w:pos="6640"/>
        </w:tabs>
        <w:autoSpaceDE w:val="0"/>
        <w:autoSpaceDN w:val="0"/>
        <w:adjustRightInd w:val="0"/>
        <w:snapToGrid w:val="0"/>
        <w:spacing w:line="500" w:lineRule="exact"/>
        <w:ind w:firstLine="2066" w:firstLineChars="735"/>
        <w:rPr>
          <w:rFonts w:hint="eastAsia" w:ascii="宋体" w:hAnsi="宋体" w:cs="MingLiU"/>
          <w:b/>
          <w:kern w:val="0"/>
          <w:sz w:val="28"/>
          <w:szCs w:val="28"/>
          <w:highlight w:val="none"/>
        </w:rPr>
      </w:pPr>
      <w:r>
        <w:rPr>
          <w:rFonts w:hint="eastAsia" w:ascii="宋体" w:hAnsi="宋体" w:cs="MingLiU"/>
          <w:b/>
          <w:kern w:val="0"/>
          <w:sz w:val="28"/>
          <w:szCs w:val="28"/>
          <w:highlight w:val="none"/>
        </w:rPr>
        <w:t>法定代表人或委托代理人：</w:t>
      </w:r>
      <w:r>
        <w:rPr>
          <w:rFonts w:hint="eastAsia" w:ascii="宋体" w:hAnsi="宋体" w:cs="MingLiU"/>
          <w:b/>
          <w:kern w:val="0"/>
          <w:sz w:val="28"/>
          <w:szCs w:val="28"/>
          <w:highlight w:val="none"/>
          <w:u w:val="single"/>
        </w:rPr>
        <w:t xml:space="preserve"> 　          </w:t>
      </w:r>
      <w:r>
        <w:rPr>
          <w:rFonts w:hint="eastAsia" w:ascii="宋体" w:hAnsi="宋体" w:cs="MingLiU"/>
          <w:b/>
          <w:kern w:val="0"/>
          <w:sz w:val="28"/>
          <w:szCs w:val="28"/>
          <w:highlight w:val="none"/>
        </w:rPr>
        <w:t>（签字或盖章）</w:t>
      </w:r>
    </w:p>
    <w:p w14:paraId="612AFDDA">
      <w:pPr>
        <w:tabs>
          <w:tab w:val="left" w:pos="3280"/>
          <w:tab w:val="left" w:pos="4680"/>
          <w:tab w:val="left" w:pos="6080"/>
        </w:tabs>
        <w:autoSpaceDE w:val="0"/>
        <w:autoSpaceDN w:val="0"/>
        <w:adjustRightInd w:val="0"/>
        <w:snapToGrid w:val="0"/>
        <w:spacing w:line="500" w:lineRule="exact"/>
        <w:jc w:val="center"/>
        <w:rPr>
          <w:rFonts w:hint="eastAsia" w:ascii="宋体" w:hAnsi="宋体" w:cs="MingLiU"/>
          <w:b/>
          <w:kern w:val="0"/>
          <w:sz w:val="28"/>
          <w:szCs w:val="28"/>
          <w:highlight w:val="none"/>
        </w:rPr>
      </w:pPr>
      <w:r>
        <w:rPr>
          <w:rFonts w:hint="eastAsia" w:ascii="宋体" w:hAnsi="宋体" w:cs="MingLiU"/>
          <w:b/>
          <w:kern w:val="0"/>
          <w:sz w:val="28"/>
          <w:szCs w:val="28"/>
          <w:highlight w:val="none"/>
          <w:u w:val="single"/>
        </w:rPr>
        <w:t xml:space="preserve">       </w:t>
      </w:r>
      <w:r>
        <w:rPr>
          <w:rFonts w:hint="eastAsia" w:ascii="宋体" w:hAnsi="宋体" w:cs="MingLiU"/>
          <w:b/>
          <w:kern w:val="0"/>
          <w:sz w:val="28"/>
          <w:szCs w:val="28"/>
          <w:highlight w:val="none"/>
        </w:rPr>
        <w:t>年</w:t>
      </w:r>
      <w:r>
        <w:rPr>
          <w:rFonts w:hint="eastAsia" w:ascii="宋体" w:hAnsi="宋体" w:cs="MingLiU"/>
          <w:b/>
          <w:kern w:val="0"/>
          <w:sz w:val="28"/>
          <w:szCs w:val="28"/>
          <w:highlight w:val="none"/>
          <w:u w:val="single"/>
        </w:rPr>
        <w:t xml:space="preserve">    </w:t>
      </w:r>
      <w:r>
        <w:rPr>
          <w:rFonts w:hint="eastAsia" w:ascii="宋体" w:hAnsi="宋体" w:cs="MingLiU"/>
          <w:b/>
          <w:kern w:val="0"/>
          <w:sz w:val="28"/>
          <w:szCs w:val="28"/>
          <w:highlight w:val="none"/>
        </w:rPr>
        <w:t>月</w:t>
      </w:r>
      <w:r>
        <w:rPr>
          <w:rFonts w:hint="eastAsia" w:ascii="宋体" w:hAnsi="宋体" w:cs="MingLiU"/>
          <w:b/>
          <w:kern w:val="0"/>
          <w:sz w:val="28"/>
          <w:szCs w:val="28"/>
          <w:highlight w:val="none"/>
          <w:u w:val="single"/>
        </w:rPr>
        <w:t xml:space="preserve">    </w:t>
      </w:r>
      <w:r>
        <w:rPr>
          <w:rFonts w:hint="eastAsia" w:ascii="宋体" w:hAnsi="宋体" w:cs="MingLiU"/>
          <w:b/>
          <w:kern w:val="0"/>
          <w:sz w:val="28"/>
          <w:szCs w:val="28"/>
          <w:highlight w:val="none"/>
        </w:rPr>
        <w:t>日</w:t>
      </w:r>
    </w:p>
    <w:p w14:paraId="7E6A2CD4">
      <w:pPr>
        <w:autoSpaceDE w:val="0"/>
        <w:autoSpaceDN w:val="0"/>
        <w:adjustRightInd w:val="0"/>
        <w:snapToGrid w:val="0"/>
        <w:spacing w:line="500" w:lineRule="exact"/>
        <w:rPr>
          <w:rFonts w:hint="eastAsia" w:ascii="宋体" w:hAnsi="宋体" w:cs="MingLiU"/>
          <w:b/>
          <w:kern w:val="0"/>
          <w:sz w:val="32"/>
          <w:szCs w:val="32"/>
          <w:highlight w:val="none"/>
        </w:rPr>
      </w:pPr>
    </w:p>
    <w:p w14:paraId="57BA1F7A">
      <w:pPr>
        <w:pStyle w:val="4"/>
        <w:spacing w:line="500" w:lineRule="exact"/>
        <w:jc w:val="center"/>
        <w:rPr>
          <w:rFonts w:hint="eastAsia" w:ascii="宋体" w:hAnsi="宋体" w:eastAsia="宋体"/>
          <w:bCs/>
          <w:sz w:val="32"/>
          <w:highlight w:val="none"/>
        </w:rPr>
      </w:pPr>
    </w:p>
    <w:p w14:paraId="273BB97C">
      <w:pPr>
        <w:spacing w:line="500" w:lineRule="exact"/>
        <w:rPr>
          <w:rFonts w:hint="eastAsia" w:ascii="宋体" w:hAnsi="宋体"/>
          <w:highlight w:val="none"/>
        </w:rPr>
      </w:pPr>
      <w:r>
        <w:rPr>
          <w:rFonts w:ascii="宋体" w:hAnsi="宋体"/>
          <w:bCs/>
          <w:sz w:val="32"/>
          <w:highlight w:val="none"/>
        </w:rPr>
        <w:br w:type="page"/>
      </w:r>
      <w:r>
        <w:rPr>
          <w:rFonts w:hint="eastAsia" w:ascii="宋体" w:hAnsi="宋体"/>
          <w:spacing w:val="-4"/>
          <w:szCs w:val="21"/>
          <w:highlight w:val="none"/>
        </w:rPr>
        <w:t>“</w:t>
      </w:r>
      <w:r>
        <w:rPr>
          <w:rFonts w:hint="eastAsia" w:ascii="宋体" w:hAnsi="宋体"/>
          <w:b/>
          <w:highlight w:val="none"/>
        </w:rPr>
        <w:t>投标文件</w:t>
      </w:r>
      <w:r>
        <w:rPr>
          <w:rFonts w:hint="eastAsia" w:ascii="宋体" w:hAnsi="宋体"/>
          <w:szCs w:val="21"/>
          <w:highlight w:val="none"/>
        </w:rPr>
        <w:t>”</w:t>
      </w:r>
      <w:r>
        <w:rPr>
          <w:rFonts w:hint="eastAsia" w:ascii="宋体" w:hAnsi="宋体"/>
          <w:highlight w:val="none"/>
        </w:rPr>
        <w:t>封面格式：</w:t>
      </w:r>
    </w:p>
    <w:p w14:paraId="2AA00C99">
      <w:pPr>
        <w:spacing w:line="500" w:lineRule="exact"/>
        <w:rPr>
          <w:rFonts w:hint="eastAsia" w:ascii="宋体" w:hAnsi="宋体"/>
          <w:b/>
          <w:bCs/>
          <w:w w:val="90"/>
          <w:sz w:val="44"/>
          <w:szCs w:val="44"/>
          <w:highlight w:val="none"/>
        </w:rPr>
      </w:pPr>
    </w:p>
    <w:p w14:paraId="0FD66DFD">
      <w:pPr>
        <w:spacing w:line="500" w:lineRule="exact"/>
        <w:jc w:val="center"/>
        <w:rPr>
          <w:rFonts w:hint="eastAsia" w:ascii="宋体" w:hAnsi="宋体"/>
          <w:b/>
          <w:sz w:val="84"/>
          <w:szCs w:val="84"/>
          <w:highlight w:val="none"/>
        </w:rPr>
      </w:pPr>
      <w:r>
        <w:rPr>
          <w:rFonts w:hint="eastAsia" w:ascii="宋体" w:hAnsi="宋体"/>
          <w:b/>
          <w:sz w:val="32"/>
          <w:szCs w:val="32"/>
          <w:highlight w:val="none"/>
          <w:lang w:eastAsia="zh-CN"/>
        </w:rPr>
        <w:t>重庆市医药卫生学校附属医院广场路面维修改造项目</w:t>
      </w:r>
    </w:p>
    <w:p w14:paraId="75941632">
      <w:pPr>
        <w:spacing w:line="500" w:lineRule="exact"/>
        <w:jc w:val="center"/>
        <w:rPr>
          <w:rFonts w:hint="eastAsia" w:ascii="宋体" w:hAnsi="宋体"/>
          <w:b/>
          <w:sz w:val="84"/>
          <w:szCs w:val="84"/>
          <w:highlight w:val="none"/>
        </w:rPr>
      </w:pPr>
    </w:p>
    <w:p w14:paraId="7E5A1351">
      <w:pPr>
        <w:spacing w:line="500" w:lineRule="exact"/>
        <w:jc w:val="center"/>
        <w:rPr>
          <w:rFonts w:hint="eastAsia" w:ascii="宋体" w:hAnsi="宋体"/>
          <w:b/>
          <w:sz w:val="84"/>
          <w:szCs w:val="84"/>
          <w:highlight w:val="none"/>
        </w:rPr>
      </w:pPr>
    </w:p>
    <w:p w14:paraId="4661BD1F">
      <w:pPr>
        <w:spacing w:line="500" w:lineRule="exact"/>
        <w:jc w:val="center"/>
        <w:rPr>
          <w:rFonts w:hint="eastAsia" w:ascii="宋体" w:hAnsi="宋体"/>
          <w:b/>
          <w:sz w:val="84"/>
          <w:szCs w:val="84"/>
          <w:highlight w:val="none"/>
        </w:rPr>
      </w:pPr>
    </w:p>
    <w:p w14:paraId="3BA52D4E">
      <w:pPr>
        <w:spacing w:line="1000" w:lineRule="exact"/>
        <w:jc w:val="center"/>
        <w:rPr>
          <w:rFonts w:hint="eastAsia" w:ascii="宋体" w:hAnsi="宋体"/>
          <w:b/>
          <w:sz w:val="84"/>
          <w:szCs w:val="84"/>
          <w:highlight w:val="none"/>
        </w:rPr>
      </w:pPr>
      <w:r>
        <w:rPr>
          <w:rFonts w:ascii="宋体" w:hAnsi="宋体"/>
          <w:b/>
          <w:sz w:val="84"/>
          <w:szCs w:val="84"/>
          <w:highlight w:val="none"/>
        </w:rPr>
        <w:t>投 标 文 件</w:t>
      </w:r>
    </w:p>
    <w:p w14:paraId="4C0AACA4">
      <w:pPr>
        <w:spacing w:line="500" w:lineRule="exact"/>
        <w:jc w:val="center"/>
        <w:rPr>
          <w:rFonts w:hint="eastAsia" w:ascii="宋体" w:hAnsi="宋体"/>
          <w:szCs w:val="44"/>
          <w:highlight w:val="none"/>
        </w:rPr>
      </w:pPr>
    </w:p>
    <w:p w14:paraId="447DCB98">
      <w:pPr>
        <w:spacing w:line="500" w:lineRule="exact"/>
        <w:ind w:firstLine="420" w:firstLineChars="200"/>
        <w:jc w:val="center"/>
        <w:rPr>
          <w:rFonts w:hint="eastAsia" w:ascii="宋体" w:hAnsi="宋体"/>
          <w:szCs w:val="44"/>
          <w:highlight w:val="none"/>
        </w:rPr>
      </w:pPr>
    </w:p>
    <w:p w14:paraId="4F686902">
      <w:pPr>
        <w:spacing w:line="500" w:lineRule="exact"/>
        <w:ind w:firstLine="420" w:firstLineChars="200"/>
        <w:jc w:val="center"/>
        <w:rPr>
          <w:rFonts w:hint="eastAsia" w:ascii="宋体" w:hAnsi="宋体"/>
          <w:szCs w:val="44"/>
          <w:highlight w:val="none"/>
        </w:rPr>
      </w:pPr>
    </w:p>
    <w:p w14:paraId="24EB1420">
      <w:pPr>
        <w:spacing w:line="500" w:lineRule="exact"/>
        <w:rPr>
          <w:rFonts w:hint="eastAsia" w:ascii="宋体" w:hAnsi="宋体"/>
          <w:sz w:val="32"/>
          <w:szCs w:val="32"/>
          <w:highlight w:val="none"/>
        </w:rPr>
      </w:pPr>
    </w:p>
    <w:p w14:paraId="5343B1D6">
      <w:pPr>
        <w:spacing w:line="500" w:lineRule="exact"/>
        <w:rPr>
          <w:rFonts w:hint="eastAsia" w:ascii="宋体" w:hAnsi="宋体"/>
          <w:sz w:val="32"/>
          <w:szCs w:val="32"/>
          <w:highlight w:val="none"/>
        </w:rPr>
      </w:pPr>
    </w:p>
    <w:p w14:paraId="752874D1">
      <w:pPr>
        <w:topLinePunct/>
        <w:spacing w:line="500" w:lineRule="exact"/>
        <w:rPr>
          <w:rFonts w:hint="eastAsia" w:ascii="宋体" w:hAnsi="宋体"/>
          <w:szCs w:val="21"/>
          <w:highlight w:val="none"/>
        </w:rPr>
      </w:pPr>
    </w:p>
    <w:p w14:paraId="55E621B4">
      <w:pPr>
        <w:autoSpaceDE w:val="0"/>
        <w:autoSpaceDN w:val="0"/>
        <w:adjustRightInd w:val="0"/>
        <w:snapToGrid w:val="0"/>
        <w:spacing w:line="500" w:lineRule="exact"/>
        <w:jc w:val="left"/>
        <w:rPr>
          <w:rFonts w:hint="eastAsia" w:ascii="宋体" w:hAnsi="宋体"/>
          <w:szCs w:val="21"/>
          <w:highlight w:val="none"/>
        </w:rPr>
      </w:pPr>
    </w:p>
    <w:p w14:paraId="301C77A8">
      <w:pPr>
        <w:autoSpaceDE w:val="0"/>
        <w:autoSpaceDN w:val="0"/>
        <w:adjustRightInd w:val="0"/>
        <w:snapToGrid w:val="0"/>
        <w:spacing w:line="500" w:lineRule="exact"/>
        <w:jc w:val="left"/>
        <w:rPr>
          <w:rFonts w:hint="eastAsia" w:ascii="宋体" w:hAnsi="宋体"/>
          <w:szCs w:val="21"/>
          <w:highlight w:val="none"/>
        </w:rPr>
      </w:pPr>
    </w:p>
    <w:p w14:paraId="51FFC4A0">
      <w:pPr>
        <w:autoSpaceDE w:val="0"/>
        <w:autoSpaceDN w:val="0"/>
        <w:adjustRightInd w:val="0"/>
        <w:snapToGrid w:val="0"/>
        <w:spacing w:line="500" w:lineRule="exact"/>
        <w:jc w:val="left"/>
        <w:rPr>
          <w:rFonts w:hint="eastAsia" w:ascii="宋体" w:hAnsi="宋体" w:cs="MingLiU"/>
          <w:kern w:val="0"/>
          <w:sz w:val="20"/>
          <w:highlight w:val="none"/>
        </w:rPr>
      </w:pPr>
    </w:p>
    <w:p w14:paraId="0CCF3829">
      <w:pPr>
        <w:tabs>
          <w:tab w:val="left" w:pos="6080"/>
          <w:tab w:val="left" w:pos="6640"/>
        </w:tabs>
        <w:autoSpaceDE w:val="0"/>
        <w:autoSpaceDN w:val="0"/>
        <w:adjustRightInd w:val="0"/>
        <w:snapToGrid w:val="0"/>
        <w:spacing w:line="500" w:lineRule="exact"/>
        <w:ind w:firstLine="2066" w:firstLineChars="735"/>
        <w:rPr>
          <w:rFonts w:hint="eastAsia" w:ascii="宋体" w:hAnsi="宋体"/>
          <w:b/>
          <w:kern w:val="0"/>
          <w:sz w:val="28"/>
          <w:szCs w:val="28"/>
          <w:highlight w:val="none"/>
        </w:rPr>
      </w:pPr>
      <w:r>
        <w:rPr>
          <w:rFonts w:hint="eastAsia" w:ascii="宋体" w:hAnsi="宋体" w:cs="MingLiU"/>
          <w:b/>
          <w:kern w:val="0"/>
          <w:sz w:val="28"/>
          <w:szCs w:val="28"/>
          <w:highlight w:val="none"/>
        </w:rPr>
        <w:t>竞争性比选单位：</w:t>
      </w:r>
      <w:r>
        <w:rPr>
          <w:rFonts w:hint="eastAsia" w:ascii="宋体" w:hAnsi="宋体" w:cs="MingLiU"/>
          <w:b/>
          <w:kern w:val="0"/>
          <w:sz w:val="28"/>
          <w:szCs w:val="28"/>
          <w:highlight w:val="none"/>
          <w:u w:val="single"/>
        </w:rPr>
        <w:t xml:space="preserve"> 　             </w:t>
      </w:r>
      <w:r>
        <w:rPr>
          <w:rFonts w:hint="eastAsia" w:ascii="宋体" w:hAnsi="宋体" w:cs="MingLiU"/>
          <w:b/>
          <w:kern w:val="0"/>
          <w:sz w:val="28"/>
          <w:szCs w:val="28"/>
          <w:highlight w:val="none"/>
        </w:rPr>
        <w:t>（盖单位公章）</w:t>
      </w:r>
    </w:p>
    <w:p w14:paraId="46DC1101">
      <w:pPr>
        <w:tabs>
          <w:tab w:val="left" w:pos="6080"/>
          <w:tab w:val="left" w:pos="6640"/>
        </w:tabs>
        <w:autoSpaceDE w:val="0"/>
        <w:autoSpaceDN w:val="0"/>
        <w:adjustRightInd w:val="0"/>
        <w:snapToGrid w:val="0"/>
        <w:spacing w:line="500" w:lineRule="exact"/>
        <w:ind w:firstLine="2066" w:firstLineChars="735"/>
        <w:rPr>
          <w:rFonts w:hint="eastAsia" w:ascii="宋体" w:hAnsi="宋体" w:cs="MingLiU"/>
          <w:b/>
          <w:kern w:val="0"/>
          <w:sz w:val="28"/>
          <w:szCs w:val="28"/>
          <w:highlight w:val="none"/>
        </w:rPr>
      </w:pPr>
      <w:r>
        <w:rPr>
          <w:rFonts w:hint="eastAsia" w:ascii="宋体" w:hAnsi="宋体" w:cs="MingLiU"/>
          <w:b/>
          <w:kern w:val="0"/>
          <w:sz w:val="28"/>
          <w:szCs w:val="28"/>
          <w:highlight w:val="none"/>
        </w:rPr>
        <w:t>法定代表人或委托代理人：</w:t>
      </w:r>
      <w:r>
        <w:rPr>
          <w:rFonts w:hint="eastAsia" w:ascii="宋体" w:hAnsi="宋体" w:cs="MingLiU"/>
          <w:b/>
          <w:kern w:val="0"/>
          <w:sz w:val="28"/>
          <w:szCs w:val="28"/>
          <w:highlight w:val="none"/>
          <w:u w:val="single"/>
        </w:rPr>
        <w:t xml:space="preserve"> 　            </w:t>
      </w:r>
      <w:r>
        <w:rPr>
          <w:rFonts w:hint="eastAsia" w:ascii="宋体" w:hAnsi="宋体" w:cs="MingLiU"/>
          <w:b/>
          <w:kern w:val="0"/>
          <w:sz w:val="28"/>
          <w:szCs w:val="28"/>
          <w:highlight w:val="none"/>
        </w:rPr>
        <w:t>（签字或盖章）</w:t>
      </w:r>
    </w:p>
    <w:p w14:paraId="22F8AA88">
      <w:pPr>
        <w:tabs>
          <w:tab w:val="left" w:pos="3280"/>
          <w:tab w:val="left" w:pos="4680"/>
          <w:tab w:val="left" w:pos="6080"/>
        </w:tabs>
        <w:autoSpaceDE w:val="0"/>
        <w:autoSpaceDN w:val="0"/>
        <w:adjustRightInd w:val="0"/>
        <w:snapToGrid w:val="0"/>
        <w:spacing w:line="500" w:lineRule="exact"/>
        <w:jc w:val="center"/>
        <w:rPr>
          <w:rFonts w:hint="eastAsia" w:ascii="宋体" w:hAnsi="宋体" w:cs="MingLiU"/>
          <w:b/>
          <w:kern w:val="0"/>
          <w:sz w:val="28"/>
          <w:szCs w:val="28"/>
          <w:highlight w:val="none"/>
        </w:rPr>
      </w:pPr>
      <w:r>
        <w:rPr>
          <w:rFonts w:hint="eastAsia" w:ascii="宋体" w:hAnsi="宋体" w:cs="MingLiU"/>
          <w:b/>
          <w:kern w:val="0"/>
          <w:sz w:val="28"/>
          <w:szCs w:val="28"/>
          <w:highlight w:val="none"/>
          <w:u w:val="single"/>
        </w:rPr>
        <w:t xml:space="preserve">       </w:t>
      </w:r>
      <w:r>
        <w:rPr>
          <w:rFonts w:hint="eastAsia" w:ascii="宋体" w:hAnsi="宋体" w:cs="MingLiU"/>
          <w:b/>
          <w:kern w:val="0"/>
          <w:sz w:val="28"/>
          <w:szCs w:val="28"/>
          <w:highlight w:val="none"/>
        </w:rPr>
        <w:t>年</w:t>
      </w:r>
      <w:r>
        <w:rPr>
          <w:rFonts w:hint="eastAsia" w:ascii="宋体" w:hAnsi="宋体" w:cs="MingLiU"/>
          <w:b/>
          <w:kern w:val="0"/>
          <w:sz w:val="28"/>
          <w:szCs w:val="28"/>
          <w:highlight w:val="none"/>
          <w:u w:val="single"/>
        </w:rPr>
        <w:t xml:space="preserve">  </w:t>
      </w:r>
      <w:r>
        <w:rPr>
          <w:rFonts w:hint="eastAsia" w:ascii="宋体" w:hAnsi="宋体" w:cs="MingLiU"/>
          <w:b/>
          <w:kern w:val="0"/>
          <w:sz w:val="28"/>
          <w:szCs w:val="28"/>
          <w:highlight w:val="none"/>
        </w:rPr>
        <w:t>月</w:t>
      </w:r>
      <w:r>
        <w:rPr>
          <w:rFonts w:hint="eastAsia" w:ascii="宋体" w:hAnsi="宋体" w:cs="MingLiU"/>
          <w:b/>
          <w:kern w:val="0"/>
          <w:sz w:val="28"/>
          <w:szCs w:val="28"/>
          <w:highlight w:val="none"/>
          <w:u w:val="single"/>
        </w:rPr>
        <w:t xml:space="preserve">  </w:t>
      </w:r>
      <w:r>
        <w:rPr>
          <w:rFonts w:hint="eastAsia" w:ascii="宋体" w:hAnsi="宋体" w:cs="MingLiU"/>
          <w:b/>
          <w:kern w:val="0"/>
          <w:sz w:val="28"/>
          <w:szCs w:val="28"/>
          <w:highlight w:val="none"/>
        </w:rPr>
        <w:t>日</w:t>
      </w:r>
    </w:p>
    <w:p w14:paraId="3AA25221">
      <w:pPr>
        <w:pStyle w:val="4"/>
        <w:spacing w:line="500" w:lineRule="exact"/>
        <w:jc w:val="center"/>
        <w:rPr>
          <w:rFonts w:hint="eastAsia" w:ascii="宋体" w:hAnsi="宋体" w:eastAsia="宋体"/>
          <w:b w:val="0"/>
          <w:spacing w:val="0"/>
          <w:w w:val="100"/>
          <w:sz w:val="24"/>
          <w:szCs w:val="24"/>
          <w:highlight w:val="none"/>
        </w:rPr>
      </w:pPr>
      <w:r>
        <w:rPr>
          <w:rFonts w:ascii="宋体" w:hAnsi="宋体" w:eastAsia="宋体"/>
          <w:bCs/>
          <w:sz w:val="32"/>
          <w:highlight w:val="none"/>
        </w:rPr>
        <w:br w:type="page"/>
      </w:r>
    </w:p>
    <w:p w14:paraId="0E63EA3E">
      <w:pPr>
        <w:jc w:val="center"/>
        <w:rPr>
          <w:rFonts w:hint="eastAsia" w:ascii="宋体" w:hAnsi="宋体" w:cs="MingLiU"/>
          <w:kern w:val="0"/>
          <w:sz w:val="24"/>
          <w:highlight w:val="none"/>
        </w:rPr>
      </w:pPr>
      <w:r>
        <w:rPr>
          <w:rFonts w:hint="eastAsia" w:ascii="宋体" w:hAnsi="宋体" w:cs="MingLiU"/>
          <w:kern w:val="0"/>
          <w:sz w:val="24"/>
          <w:highlight w:val="none"/>
        </w:rPr>
        <w:t>目    录</w:t>
      </w:r>
    </w:p>
    <w:p w14:paraId="1F7CD9D9">
      <w:pPr>
        <w:tabs>
          <w:tab w:val="left" w:pos="3165"/>
        </w:tabs>
        <w:autoSpaceDE w:val="0"/>
        <w:autoSpaceDN w:val="0"/>
        <w:adjustRightInd w:val="0"/>
        <w:spacing w:line="500" w:lineRule="exact"/>
        <w:ind w:right="-23"/>
        <w:jc w:val="left"/>
        <w:rPr>
          <w:rFonts w:hint="eastAsia" w:ascii="宋体" w:hAnsi="宋体" w:cs="MingLiU"/>
          <w:kern w:val="0"/>
          <w:sz w:val="24"/>
          <w:highlight w:val="none"/>
        </w:rPr>
      </w:pPr>
      <w:r>
        <w:rPr>
          <w:rFonts w:hint="eastAsia" w:ascii="宋体" w:hAnsi="宋体" w:cs="MingLiU"/>
          <w:kern w:val="0"/>
          <w:sz w:val="24"/>
          <w:highlight w:val="none"/>
        </w:rPr>
        <w:t>（一）投标函</w:t>
      </w:r>
    </w:p>
    <w:p w14:paraId="027475BD">
      <w:pPr>
        <w:tabs>
          <w:tab w:val="left" w:pos="3165"/>
        </w:tabs>
        <w:autoSpaceDE w:val="0"/>
        <w:autoSpaceDN w:val="0"/>
        <w:adjustRightInd w:val="0"/>
        <w:spacing w:line="500" w:lineRule="exact"/>
        <w:ind w:right="-23"/>
        <w:jc w:val="left"/>
        <w:rPr>
          <w:rFonts w:hint="eastAsia" w:ascii="宋体" w:hAnsi="宋体" w:cs="MingLiU"/>
          <w:kern w:val="0"/>
          <w:sz w:val="24"/>
          <w:highlight w:val="none"/>
        </w:rPr>
      </w:pPr>
      <w:r>
        <w:rPr>
          <w:rFonts w:hint="eastAsia" w:ascii="宋体" w:hAnsi="宋体" w:cs="MingLiU"/>
          <w:kern w:val="0"/>
          <w:sz w:val="24"/>
          <w:highlight w:val="none"/>
        </w:rPr>
        <w:t>（二）法定代表人身份证明书或附有法定代表人身份证明书的法人授权委托书</w:t>
      </w:r>
    </w:p>
    <w:p w14:paraId="17D3503C">
      <w:pPr>
        <w:tabs>
          <w:tab w:val="left" w:pos="3165"/>
        </w:tabs>
        <w:autoSpaceDE w:val="0"/>
        <w:autoSpaceDN w:val="0"/>
        <w:adjustRightInd w:val="0"/>
        <w:spacing w:line="500" w:lineRule="exact"/>
        <w:ind w:right="-23"/>
        <w:jc w:val="left"/>
        <w:rPr>
          <w:rFonts w:hint="eastAsia" w:ascii="宋体" w:hAnsi="宋体" w:cs="MingLiU"/>
          <w:kern w:val="0"/>
          <w:sz w:val="24"/>
          <w:highlight w:val="none"/>
        </w:rPr>
      </w:pPr>
      <w:r>
        <w:rPr>
          <w:rFonts w:hint="eastAsia" w:ascii="宋体" w:hAnsi="宋体" w:cs="MingLiU"/>
          <w:kern w:val="0"/>
          <w:sz w:val="24"/>
          <w:highlight w:val="none"/>
        </w:rPr>
        <w:t>（三）比选文件确认书</w:t>
      </w:r>
    </w:p>
    <w:p w14:paraId="7B3184DE">
      <w:pPr>
        <w:tabs>
          <w:tab w:val="left" w:pos="3165"/>
        </w:tabs>
        <w:autoSpaceDE w:val="0"/>
        <w:autoSpaceDN w:val="0"/>
        <w:adjustRightInd w:val="0"/>
        <w:spacing w:line="500" w:lineRule="exact"/>
        <w:ind w:right="-23"/>
        <w:jc w:val="left"/>
        <w:rPr>
          <w:rFonts w:hint="eastAsia" w:ascii="宋体" w:hAnsi="宋体" w:cs="MingLiU"/>
          <w:kern w:val="0"/>
          <w:sz w:val="24"/>
          <w:highlight w:val="none"/>
        </w:rPr>
      </w:pPr>
      <w:r>
        <w:rPr>
          <w:rFonts w:hint="eastAsia" w:ascii="宋体" w:hAnsi="宋体" w:cs="MingLiU"/>
          <w:kern w:val="0"/>
          <w:sz w:val="24"/>
          <w:highlight w:val="none"/>
        </w:rPr>
        <w:t>（四）最高限价确认书</w:t>
      </w:r>
    </w:p>
    <w:p w14:paraId="2AFE7074">
      <w:pPr>
        <w:tabs>
          <w:tab w:val="left" w:pos="3165"/>
        </w:tabs>
        <w:autoSpaceDE w:val="0"/>
        <w:autoSpaceDN w:val="0"/>
        <w:adjustRightInd w:val="0"/>
        <w:spacing w:line="500" w:lineRule="exact"/>
        <w:ind w:right="-23"/>
        <w:jc w:val="left"/>
        <w:rPr>
          <w:rFonts w:hint="eastAsia" w:ascii="宋体" w:hAnsi="宋体" w:cs="MingLiU"/>
          <w:kern w:val="0"/>
          <w:sz w:val="24"/>
          <w:highlight w:val="none"/>
        </w:rPr>
      </w:pPr>
      <w:r>
        <w:rPr>
          <w:rFonts w:hint="eastAsia" w:ascii="宋体" w:hAnsi="宋体" w:cs="MingLiU"/>
          <w:kern w:val="0"/>
          <w:sz w:val="24"/>
          <w:highlight w:val="none"/>
        </w:rPr>
        <w:t>（五）其他资料（资格审查资料）</w:t>
      </w:r>
    </w:p>
    <w:p w14:paraId="3DEDDDFE">
      <w:pPr>
        <w:tabs>
          <w:tab w:val="left" w:pos="3165"/>
        </w:tabs>
        <w:autoSpaceDE w:val="0"/>
        <w:autoSpaceDN w:val="0"/>
        <w:adjustRightInd w:val="0"/>
        <w:spacing w:line="500" w:lineRule="exact"/>
        <w:ind w:right="-23"/>
        <w:jc w:val="left"/>
        <w:rPr>
          <w:rFonts w:hint="eastAsia" w:ascii="宋体" w:hAnsi="宋体" w:cs="MingLiU"/>
          <w:kern w:val="0"/>
          <w:sz w:val="24"/>
          <w:highlight w:val="none"/>
        </w:rPr>
      </w:pPr>
      <w:r>
        <w:rPr>
          <w:rFonts w:hint="eastAsia" w:ascii="宋体" w:hAnsi="宋体" w:cs="MingLiU"/>
          <w:kern w:val="0"/>
          <w:sz w:val="24"/>
          <w:highlight w:val="none"/>
        </w:rPr>
        <w:t>（六）承诺</w:t>
      </w:r>
    </w:p>
    <w:p w14:paraId="391328BC">
      <w:pPr>
        <w:tabs>
          <w:tab w:val="left" w:pos="3165"/>
        </w:tabs>
        <w:autoSpaceDE w:val="0"/>
        <w:autoSpaceDN w:val="0"/>
        <w:adjustRightInd w:val="0"/>
        <w:spacing w:line="500" w:lineRule="exact"/>
        <w:ind w:right="-23"/>
        <w:jc w:val="left"/>
        <w:rPr>
          <w:rFonts w:hint="eastAsia" w:ascii="宋体" w:hAnsi="宋体" w:cs="MingLiU"/>
          <w:kern w:val="0"/>
          <w:sz w:val="24"/>
          <w:highlight w:val="none"/>
        </w:rPr>
      </w:pPr>
      <w:r>
        <w:rPr>
          <w:rFonts w:hint="eastAsia" w:ascii="宋体" w:hAnsi="宋体" w:cs="MingLiU"/>
          <w:kern w:val="0"/>
          <w:sz w:val="24"/>
          <w:highlight w:val="none"/>
        </w:rPr>
        <w:t>（七）已标价工程量清单</w:t>
      </w:r>
    </w:p>
    <w:p w14:paraId="4B6BC457">
      <w:pPr>
        <w:pStyle w:val="4"/>
        <w:spacing w:line="500" w:lineRule="exact"/>
        <w:rPr>
          <w:rFonts w:hint="eastAsia" w:ascii="宋体" w:hAnsi="宋体" w:eastAsia="宋体"/>
          <w:spacing w:val="0"/>
          <w:w w:val="100"/>
          <w:sz w:val="20"/>
          <w:szCs w:val="20"/>
          <w:highlight w:val="none"/>
        </w:rPr>
      </w:pPr>
    </w:p>
    <w:p w14:paraId="77E9D3FF">
      <w:pPr>
        <w:pStyle w:val="4"/>
        <w:spacing w:line="500" w:lineRule="exact"/>
        <w:rPr>
          <w:rFonts w:hint="eastAsia" w:ascii="宋体" w:hAnsi="宋体" w:eastAsia="宋体"/>
          <w:spacing w:val="0"/>
          <w:w w:val="100"/>
          <w:sz w:val="20"/>
          <w:szCs w:val="20"/>
          <w:highlight w:val="none"/>
        </w:rPr>
      </w:pPr>
    </w:p>
    <w:p w14:paraId="6C1F6AAE">
      <w:pPr>
        <w:pStyle w:val="5"/>
        <w:spacing w:line="500" w:lineRule="exact"/>
        <w:jc w:val="center"/>
        <w:rPr>
          <w:rFonts w:hint="eastAsia" w:ascii="宋体" w:hAnsi="宋体" w:eastAsia="宋体"/>
          <w:sz w:val="32"/>
          <w:szCs w:val="32"/>
          <w:highlight w:val="none"/>
        </w:rPr>
      </w:pPr>
      <w:r>
        <w:rPr>
          <w:rFonts w:ascii="宋体" w:hAnsi="宋体" w:eastAsia="宋体"/>
          <w:highlight w:val="none"/>
        </w:rPr>
        <w:br w:type="page"/>
      </w:r>
      <w:bookmarkEnd w:id="1519"/>
      <w:bookmarkEnd w:id="1520"/>
      <w:r>
        <w:rPr>
          <w:rFonts w:hint="eastAsia" w:ascii="宋体" w:hAnsi="宋体" w:eastAsia="宋体"/>
          <w:sz w:val="32"/>
          <w:szCs w:val="32"/>
          <w:highlight w:val="none"/>
        </w:rPr>
        <w:t>（一）投标函</w:t>
      </w:r>
    </w:p>
    <w:p w14:paraId="665963CB">
      <w:pPr>
        <w:spacing w:line="500" w:lineRule="exact"/>
        <w:rPr>
          <w:rFonts w:hint="eastAsia" w:ascii="宋体" w:hAnsi="宋体"/>
          <w:highlight w:val="none"/>
        </w:rPr>
      </w:pPr>
    </w:p>
    <w:p w14:paraId="25896683">
      <w:pPr>
        <w:tabs>
          <w:tab w:val="left" w:pos="2640"/>
        </w:tabs>
        <w:autoSpaceDE w:val="0"/>
        <w:autoSpaceDN w:val="0"/>
        <w:adjustRightInd w:val="0"/>
        <w:spacing w:line="500" w:lineRule="exact"/>
        <w:rPr>
          <w:rFonts w:ascii="宋体" w:hAnsi="宋体" w:cs="MingLiU"/>
          <w:snapToGrid w:val="0"/>
          <w:kern w:val="0"/>
          <w:szCs w:val="21"/>
          <w:highlight w:val="none"/>
        </w:rPr>
      </w:pPr>
      <w:r>
        <w:rPr>
          <w:rFonts w:hint="eastAsia" w:ascii="宋体" w:hAnsi="宋体"/>
          <w:snapToGrid w:val="0"/>
          <w:kern w:val="0"/>
          <w:szCs w:val="21"/>
          <w:highlight w:val="none"/>
          <w:u w:val="single"/>
          <w:lang w:eastAsia="zh-CN"/>
        </w:rPr>
        <w:t>重庆市医药卫生学校</w:t>
      </w:r>
      <w:r>
        <w:rPr>
          <w:rFonts w:hint="eastAsia" w:ascii="宋体" w:hAnsi="宋体" w:cs="MingLiU"/>
          <w:snapToGrid w:val="0"/>
          <w:kern w:val="0"/>
          <w:szCs w:val="21"/>
          <w:highlight w:val="none"/>
        </w:rPr>
        <w:t>（项目业主名称）：</w:t>
      </w:r>
    </w:p>
    <w:p w14:paraId="57EF59AC">
      <w:pPr>
        <w:tabs>
          <w:tab w:val="left" w:pos="3520"/>
          <w:tab w:val="left" w:pos="4920"/>
          <w:tab w:val="left" w:pos="5715"/>
          <w:tab w:val="left" w:pos="6945"/>
          <w:tab w:val="left" w:pos="7980"/>
        </w:tabs>
        <w:autoSpaceDE w:val="0"/>
        <w:autoSpaceDN w:val="0"/>
        <w:adjustRightInd w:val="0"/>
        <w:spacing w:line="500" w:lineRule="exact"/>
        <w:ind w:firstLine="420" w:firstLineChars="200"/>
        <w:rPr>
          <w:rFonts w:hint="eastAsia" w:ascii="宋体" w:hAnsi="宋体" w:cs="MingLiU"/>
          <w:snapToGrid w:val="0"/>
          <w:kern w:val="0"/>
          <w:szCs w:val="21"/>
          <w:highlight w:val="none"/>
        </w:rPr>
      </w:pPr>
      <w:r>
        <w:rPr>
          <w:rFonts w:ascii="宋体" w:hAnsi="宋体"/>
          <w:snapToGrid w:val="0"/>
          <w:kern w:val="0"/>
          <w:szCs w:val="21"/>
          <w:highlight w:val="none"/>
        </w:rPr>
        <w:t>1</w:t>
      </w:r>
      <w:r>
        <w:rPr>
          <w:rFonts w:hint="eastAsia" w:ascii="宋体" w:hAnsi="宋体" w:cs="MingLiU"/>
          <w:snapToGrid w:val="0"/>
          <w:kern w:val="0"/>
          <w:szCs w:val="21"/>
          <w:highlight w:val="none"/>
        </w:rPr>
        <w:t>．我方已仔细研究了</w:t>
      </w:r>
      <w:r>
        <w:rPr>
          <w:rFonts w:hint="eastAsia" w:ascii="宋体" w:hAnsi="宋体"/>
          <w:snapToGrid w:val="0"/>
          <w:kern w:val="0"/>
          <w:szCs w:val="21"/>
          <w:highlight w:val="none"/>
          <w:u w:val="single"/>
          <w:lang w:eastAsia="zh-CN"/>
        </w:rPr>
        <w:t>重庆市医药卫生学校附属医院广场路面维修改造项目</w:t>
      </w:r>
      <w:r>
        <w:rPr>
          <w:rFonts w:hint="eastAsia" w:ascii="宋体" w:hAnsi="宋体" w:cs="MingLiU"/>
          <w:snapToGrid w:val="0"/>
          <w:kern w:val="0"/>
          <w:szCs w:val="21"/>
          <w:highlight w:val="none"/>
        </w:rPr>
        <w:t>（项目名称）施工比选文件的全部内容，愿意以人民币（大写）</w:t>
      </w:r>
      <w:r>
        <w:rPr>
          <w:rFonts w:ascii="宋体" w:hAnsi="宋体" w:cs="MingLiU"/>
          <w:snapToGrid w:val="0"/>
          <w:w w:val="200"/>
          <w:kern w:val="0"/>
          <w:szCs w:val="21"/>
          <w:highlight w:val="none"/>
          <w:u w:val="single"/>
        </w:rPr>
        <w:t xml:space="preserve"> </w:t>
      </w:r>
      <w:r>
        <w:rPr>
          <w:rFonts w:hint="eastAsia" w:ascii="宋体" w:hAnsi="宋体" w:cs="MingLiU"/>
          <w:snapToGrid w:val="0"/>
          <w:w w:val="200"/>
          <w:kern w:val="0"/>
          <w:szCs w:val="21"/>
          <w:highlight w:val="none"/>
          <w:u w:val="single"/>
        </w:rPr>
        <w:t xml:space="preserve">          </w:t>
      </w:r>
      <w:r>
        <w:rPr>
          <w:rFonts w:ascii="宋体" w:hAnsi="宋体"/>
          <w:snapToGrid w:val="0"/>
          <w:kern w:val="0"/>
          <w:szCs w:val="21"/>
          <w:highlight w:val="none"/>
          <w:u w:val="single"/>
        </w:rPr>
        <w:tab/>
      </w:r>
      <w:r>
        <w:rPr>
          <w:rFonts w:hint="eastAsia" w:ascii="宋体" w:hAnsi="宋体" w:cs="MingLiU"/>
          <w:snapToGrid w:val="0"/>
          <w:kern w:val="0"/>
          <w:szCs w:val="21"/>
          <w:highlight w:val="none"/>
        </w:rPr>
        <w:t>（</w:t>
      </w:r>
      <w:r>
        <w:rPr>
          <w:rFonts w:ascii="宋体" w:hAnsi="宋体"/>
          <w:snapToGrid w:val="0"/>
          <w:kern w:val="0"/>
          <w:szCs w:val="21"/>
          <w:highlight w:val="none"/>
        </w:rPr>
        <w:t>¥</w:t>
      </w:r>
      <w:r>
        <w:rPr>
          <w:rFonts w:ascii="宋体" w:hAnsi="宋体" w:cs="MingLiU"/>
          <w:snapToGrid w:val="0"/>
          <w:w w:val="200"/>
          <w:kern w:val="0"/>
          <w:szCs w:val="21"/>
          <w:highlight w:val="none"/>
          <w:u w:val="single"/>
        </w:rPr>
        <w:t xml:space="preserve"> </w:t>
      </w:r>
      <w:r>
        <w:rPr>
          <w:rFonts w:hint="eastAsia" w:ascii="宋体" w:hAnsi="宋体" w:cs="MingLiU"/>
          <w:snapToGrid w:val="0"/>
          <w:w w:val="200"/>
          <w:kern w:val="0"/>
          <w:szCs w:val="21"/>
          <w:highlight w:val="none"/>
          <w:u w:val="single"/>
        </w:rPr>
        <w:t xml:space="preserve">       </w:t>
      </w:r>
      <w:r>
        <w:rPr>
          <w:rFonts w:hint="eastAsia" w:ascii="宋体" w:hAnsi="宋体" w:cs="MingLiU"/>
          <w:snapToGrid w:val="0"/>
          <w:kern w:val="0"/>
          <w:szCs w:val="21"/>
          <w:highlight w:val="none"/>
        </w:rPr>
        <w:t>元）的投标总报价</w:t>
      </w:r>
      <w:r>
        <w:rPr>
          <w:rFonts w:hint="eastAsia" w:ascii="宋体" w:hAnsi="宋体"/>
          <w:szCs w:val="21"/>
          <w:highlight w:val="none"/>
        </w:rPr>
        <w:t>（其中：安全文明施工费用暂定金额为</w:t>
      </w:r>
      <w:r>
        <w:rPr>
          <w:rFonts w:hint="eastAsia" w:ascii="宋体" w:hAnsi="宋体"/>
          <w:b/>
          <w:szCs w:val="21"/>
          <w:highlight w:val="none"/>
          <w:u w:val="single"/>
        </w:rPr>
        <w:t xml:space="preserve">         </w:t>
      </w:r>
      <w:r>
        <w:rPr>
          <w:rFonts w:hint="eastAsia" w:ascii="宋体" w:hAnsi="宋体"/>
          <w:szCs w:val="21"/>
          <w:highlight w:val="none"/>
        </w:rPr>
        <w:t>元）；</w:t>
      </w:r>
      <w:r>
        <w:rPr>
          <w:rFonts w:hint="eastAsia" w:ascii="宋体" w:hAnsi="宋体" w:cs="MingLiU"/>
          <w:snapToGrid w:val="0"/>
          <w:kern w:val="0"/>
          <w:szCs w:val="21"/>
          <w:highlight w:val="none"/>
        </w:rPr>
        <w:t>工期</w:t>
      </w:r>
      <w:r>
        <w:rPr>
          <w:rFonts w:ascii="宋体" w:hAnsi="宋体" w:cs="MingLiU"/>
          <w:snapToGrid w:val="0"/>
          <w:w w:val="200"/>
          <w:kern w:val="0"/>
          <w:szCs w:val="21"/>
          <w:highlight w:val="none"/>
          <w:u w:val="single"/>
        </w:rPr>
        <w:t xml:space="preserve"> </w:t>
      </w:r>
      <w:r>
        <w:rPr>
          <w:rFonts w:hint="eastAsia" w:ascii="宋体" w:hAnsi="宋体"/>
          <w:snapToGrid w:val="0"/>
          <w:kern w:val="0"/>
          <w:szCs w:val="21"/>
          <w:highlight w:val="none"/>
          <w:u w:val="single"/>
        </w:rPr>
        <w:t xml:space="preserve">   </w:t>
      </w:r>
      <w:r>
        <w:rPr>
          <w:rFonts w:hint="eastAsia" w:ascii="宋体" w:hAnsi="宋体" w:cs="MingLiU"/>
          <w:snapToGrid w:val="0"/>
          <w:kern w:val="0"/>
          <w:szCs w:val="21"/>
          <w:highlight w:val="none"/>
        </w:rPr>
        <w:t>日历天，按合同约定实施和完成承包工程，修补工程中的任何缺陷，工程质量</w:t>
      </w:r>
      <w:r>
        <w:rPr>
          <w:rFonts w:hint="eastAsia" w:ascii="宋体" w:hAnsi="宋体"/>
          <w:szCs w:val="21"/>
          <w:highlight w:val="none"/>
          <w:u w:val="single"/>
        </w:rPr>
        <w:t>符合国家现行有关施工质量验收规范要求，并达到合格标准</w:t>
      </w:r>
      <w:r>
        <w:rPr>
          <w:rFonts w:hint="eastAsia" w:ascii="宋体" w:hAnsi="宋体" w:cs="MingLiU"/>
          <w:snapToGrid w:val="0"/>
          <w:kern w:val="0"/>
          <w:szCs w:val="21"/>
          <w:highlight w:val="none"/>
        </w:rPr>
        <w:t>。</w:t>
      </w:r>
    </w:p>
    <w:p w14:paraId="4ADFBA29">
      <w:pPr>
        <w:autoSpaceDE w:val="0"/>
        <w:autoSpaceDN w:val="0"/>
        <w:adjustRightInd w:val="0"/>
        <w:spacing w:line="500" w:lineRule="exact"/>
        <w:ind w:firstLine="420" w:firstLineChars="200"/>
        <w:rPr>
          <w:rFonts w:ascii="宋体" w:hAnsi="宋体" w:cs="MingLiU"/>
          <w:snapToGrid w:val="0"/>
          <w:kern w:val="0"/>
          <w:szCs w:val="21"/>
          <w:highlight w:val="none"/>
        </w:rPr>
      </w:pPr>
      <w:bookmarkStart w:id="1521" w:name="_Toc237858469"/>
      <w:r>
        <w:rPr>
          <w:rFonts w:hint="eastAsia" w:ascii="宋体" w:hAnsi="宋体" w:cs="MingLiU"/>
          <w:snapToGrid w:val="0"/>
          <w:kern w:val="0"/>
          <w:szCs w:val="21"/>
          <w:highlight w:val="none"/>
        </w:rPr>
        <w:t>2.我方承诺在投标有效期内不修改、撤销投标文件。</w:t>
      </w:r>
    </w:p>
    <w:p w14:paraId="4B16A6E1">
      <w:pPr>
        <w:autoSpaceDE w:val="0"/>
        <w:autoSpaceDN w:val="0"/>
        <w:adjustRightInd w:val="0"/>
        <w:spacing w:line="500" w:lineRule="exact"/>
        <w:ind w:firstLine="420" w:firstLineChars="200"/>
        <w:rPr>
          <w:rFonts w:ascii="宋体" w:hAnsi="宋体" w:cs="MingLiU"/>
          <w:snapToGrid w:val="0"/>
          <w:kern w:val="0"/>
          <w:szCs w:val="21"/>
          <w:highlight w:val="none"/>
        </w:rPr>
      </w:pPr>
      <w:r>
        <w:rPr>
          <w:rFonts w:hint="eastAsia" w:ascii="宋体" w:hAnsi="宋体"/>
          <w:snapToGrid w:val="0"/>
          <w:kern w:val="0"/>
          <w:szCs w:val="21"/>
          <w:highlight w:val="none"/>
        </w:rPr>
        <w:t>3</w:t>
      </w:r>
      <w:r>
        <w:rPr>
          <w:rFonts w:hint="eastAsia" w:ascii="宋体" w:hAnsi="宋体" w:cs="MingLiU"/>
          <w:snapToGrid w:val="0"/>
          <w:kern w:val="0"/>
          <w:szCs w:val="21"/>
          <w:highlight w:val="none"/>
        </w:rPr>
        <w:t>．如我方中标：</w:t>
      </w:r>
    </w:p>
    <w:p w14:paraId="678DC2E2">
      <w:pPr>
        <w:autoSpaceDE w:val="0"/>
        <w:autoSpaceDN w:val="0"/>
        <w:adjustRightInd w:val="0"/>
        <w:spacing w:line="500" w:lineRule="exact"/>
        <w:ind w:firstLine="420" w:firstLineChars="200"/>
        <w:rPr>
          <w:rFonts w:ascii="宋体" w:hAnsi="宋体" w:cs="MingLiU"/>
          <w:snapToGrid w:val="0"/>
          <w:kern w:val="0"/>
          <w:szCs w:val="21"/>
          <w:highlight w:val="none"/>
        </w:rPr>
      </w:pPr>
      <w:r>
        <w:rPr>
          <w:rFonts w:hint="eastAsia" w:ascii="宋体" w:hAnsi="宋体" w:cs="MingLiU"/>
          <w:snapToGrid w:val="0"/>
          <w:kern w:val="0"/>
          <w:szCs w:val="21"/>
          <w:highlight w:val="none"/>
        </w:rPr>
        <w:t>（</w:t>
      </w:r>
      <w:r>
        <w:rPr>
          <w:rFonts w:ascii="宋体" w:hAnsi="宋体"/>
          <w:snapToGrid w:val="0"/>
          <w:kern w:val="0"/>
          <w:szCs w:val="21"/>
          <w:highlight w:val="none"/>
        </w:rPr>
        <w:t>1</w:t>
      </w:r>
      <w:r>
        <w:rPr>
          <w:rFonts w:hint="eastAsia" w:ascii="宋体" w:hAnsi="宋体" w:cs="MingLiU"/>
          <w:snapToGrid w:val="0"/>
          <w:kern w:val="0"/>
          <w:szCs w:val="21"/>
          <w:highlight w:val="none"/>
        </w:rPr>
        <w:t>）我方承诺在收到中标通知书后，在中标通知书规定的期限内与你方签订合同。</w:t>
      </w:r>
    </w:p>
    <w:p w14:paraId="02E37968">
      <w:pPr>
        <w:autoSpaceDE w:val="0"/>
        <w:autoSpaceDN w:val="0"/>
        <w:adjustRightInd w:val="0"/>
        <w:spacing w:line="500" w:lineRule="exact"/>
        <w:ind w:firstLine="420" w:firstLineChars="200"/>
        <w:rPr>
          <w:rFonts w:ascii="宋体" w:hAnsi="宋体" w:cs="MingLiU"/>
          <w:snapToGrid w:val="0"/>
          <w:kern w:val="0"/>
          <w:szCs w:val="21"/>
          <w:highlight w:val="none"/>
        </w:rPr>
      </w:pPr>
      <w:r>
        <w:rPr>
          <w:rFonts w:hint="eastAsia" w:ascii="宋体" w:hAnsi="宋体" w:cs="MingLiU"/>
          <w:snapToGrid w:val="0"/>
          <w:kern w:val="0"/>
          <w:szCs w:val="21"/>
          <w:highlight w:val="none"/>
        </w:rPr>
        <w:t>（</w:t>
      </w:r>
      <w:r>
        <w:rPr>
          <w:rFonts w:ascii="宋体" w:hAnsi="宋体"/>
          <w:snapToGrid w:val="0"/>
          <w:kern w:val="0"/>
          <w:szCs w:val="21"/>
          <w:highlight w:val="none"/>
        </w:rPr>
        <w:t>2</w:t>
      </w:r>
      <w:r>
        <w:rPr>
          <w:rFonts w:hint="eastAsia" w:ascii="宋体" w:hAnsi="宋体" w:cs="MingLiU"/>
          <w:snapToGrid w:val="0"/>
          <w:kern w:val="0"/>
          <w:szCs w:val="21"/>
          <w:highlight w:val="none"/>
        </w:rPr>
        <w:t>）我方承诺按照比选文件规定向你方递交履约担保；</w:t>
      </w:r>
    </w:p>
    <w:p w14:paraId="6EAFD935">
      <w:pPr>
        <w:autoSpaceDE w:val="0"/>
        <w:autoSpaceDN w:val="0"/>
        <w:adjustRightInd w:val="0"/>
        <w:spacing w:line="500" w:lineRule="exact"/>
        <w:ind w:firstLine="420" w:firstLineChars="200"/>
        <w:rPr>
          <w:rFonts w:hint="eastAsia" w:ascii="宋体" w:hAnsi="宋体" w:cs="MingLiU"/>
          <w:snapToGrid w:val="0"/>
          <w:kern w:val="0"/>
          <w:szCs w:val="21"/>
          <w:highlight w:val="none"/>
        </w:rPr>
      </w:pPr>
      <w:r>
        <w:rPr>
          <w:rFonts w:hint="eastAsia" w:ascii="宋体" w:hAnsi="宋体" w:cs="MingLiU"/>
          <w:snapToGrid w:val="0"/>
          <w:kern w:val="0"/>
          <w:szCs w:val="21"/>
          <w:highlight w:val="none"/>
        </w:rPr>
        <w:t>（</w:t>
      </w:r>
      <w:r>
        <w:rPr>
          <w:rFonts w:ascii="宋体" w:hAnsi="宋体"/>
          <w:snapToGrid w:val="0"/>
          <w:kern w:val="0"/>
          <w:szCs w:val="21"/>
          <w:highlight w:val="none"/>
        </w:rPr>
        <w:t>3</w:t>
      </w:r>
      <w:r>
        <w:rPr>
          <w:rFonts w:hint="eastAsia" w:ascii="宋体" w:hAnsi="宋体" w:cs="MingLiU"/>
          <w:snapToGrid w:val="0"/>
          <w:kern w:val="0"/>
          <w:szCs w:val="21"/>
          <w:highlight w:val="none"/>
        </w:rPr>
        <w:t>）我方承诺在合同约定的期限内完成并移交全部合同工程；</w:t>
      </w:r>
    </w:p>
    <w:p w14:paraId="3359CBF5">
      <w:pPr>
        <w:autoSpaceDE w:val="0"/>
        <w:autoSpaceDN w:val="0"/>
        <w:adjustRightInd w:val="0"/>
        <w:spacing w:line="500" w:lineRule="exact"/>
        <w:ind w:firstLine="420" w:firstLineChars="200"/>
        <w:rPr>
          <w:rFonts w:ascii="宋体" w:hAnsi="宋体" w:cs="MingLiU"/>
          <w:snapToGrid w:val="0"/>
          <w:kern w:val="0"/>
          <w:szCs w:val="21"/>
          <w:highlight w:val="none"/>
        </w:rPr>
      </w:pPr>
      <w:r>
        <w:rPr>
          <w:rFonts w:hint="eastAsia" w:ascii="宋体" w:hAnsi="宋体"/>
          <w:szCs w:val="21"/>
          <w:highlight w:val="none"/>
        </w:rPr>
        <w:t>4．</w:t>
      </w:r>
      <w:r>
        <w:rPr>
          <w:rFonts w:hint="eastAsia" w:ascii="宋体" w:hAnsi="宋体" w:cs="MingLiU"/>
          <w:snapToGrid w:val="0"/>
          <w:kern w:val="0"/>
          <w:szCs w:val="21"/>
          <w:highlight w:val="none"/>
        </w:rPr>
        <w:t>我方在此声明，所递交的投标文件及有关资料内容完整、真实和准确，且不存在第二章“竞争性比选单位须知”第</w:t>
      </w:r>
      <w:r>
        <w:rPr>
          <w:rFonts w:ascii="宋体" w:hAnsi="宋体"/>
          <w:snapToGrid w:val="0"/>
          <w:kern w:val="0"/>
          <w:szCs w:val="21"/>
          <w:highlight w:val="none"/>
        </w:rPr>
        <w:t xml:space="preserve"> 1.4.</w:t>
      </w:r>
      <w:r>
        <w:rPr>
          <w:rFonts w:hint="eastAsia" w:ascii="宋体" w:hAnsi="宋体"/>
          <w:snapToGrid w:val="0"/>
          <w:kern w:val="0"/>
          <w:szCs w:val="21"/>
          <w:highlight w:val="none"/>
        </w:rPr>
        <w:t>3</w:t>
      </w:r>
      <w:r>
        <w:rPr>
          <w:rFonts w:ascii="宋体" w:hAnsi="宋体"/>
          <w:snapToGrid w:val="0"/>
          <w:kern w:val="0"/>
          <w:szCs w:val="21"/>
          <w:highlight w:val="none"/>
        </w:rPr>
        <w:t xml:space="preserve"> </w:t>
      </w:r>
      <w:r>
        <w:rPr>
          <w:rFonts w:hint="eastAsia" w:ascii="宋体" w:hAnsi="宋体" w:cs="MingLiU"/>
          <w:snapToGrid w:val="0"/>
          <w:kern w:val="0"/>
          <w:szCs w:val="21"/>
          <w:highlight w:val="none"/>
        </w:rPr>
        <w:t>项规定的任何一种情形。</w:t>
      </w:r>
    </w:p>
    <w:p w14:paraId="7AFD4F00">
      <w:pPr>
        <w:spacing w:line="500" w:lineRule="exact"/>
        <w:ind w:firstLine="420" w:firstLineChars="200"/>
        <w:rPr>
          <w:rFonts w:hint="eastAsia" w:ascii="宋体" w:hAnsi="宋体"/>
          <w:szCs w:val="21"/>
          <w:highlight w:val="none"/>
        </w:rPr>
      </w:pPr>
      <w:r>
        <w:rPr>
          <w:rFonts w:hint="eastAsia" w:ascii="宋体" w:hAnsi="宋体"/>
          <w:szCs w:val="21"/>
          <w:highlight w:val="none"/>
        </w:rPr>
        <w:t>5. 我公司保证本工程中标后绝不转包和挂靠，一旦建设单位发现、查实我公司有上述行为，我公司甘愿承受项目业主的处罚。</w:t>
      </w:r>
    </w:p>
    <w:p w14:paraId="7810C94F">
      <w:pPr>
        <w:tabs>
          <w:tab w:val="left" w:pos="7140"/>
          <w:tab w:val="left" w:pos="7560"/>
          <w:tab w:val="left" w:pos="8300"/>
        </w:tabs>
        <w:autoSpaceDE w:val="0"/>
        <w:autoSpaceDN w:val="0"/>
        <w:adjustRightInd w:val="0"/>
        <w:spacing w:line="360" w:lineRule="auto"/>
        <w:ind w:right="210" w:firstLine="1984" w:firstLineChars="945"/>
        <w:rPr>
          <w:rFonts w:hint="eastAsia" w:ascii="宋体" w:hAnsi="宋体" w:cs="MingLiU"/>
          <w:snapToGrid w:val="0"/>
          <w:kern w:val="0"/>
          <w:szCs w:val="21"/>
          <w:highlight w:val="none"/>
        </w:rPr>
      </w:pPr>
    </w:p>
    <w:p w14:paraId="199BA874">
      <w:pPr>
        <w:tabs>
          <w:tab w:val="left" w:pos="7140"/>
          <w:tab w:val="left" w:pos="7560"/>
          <w:tab w:val="left" w:pos="8300"/>
        </w:tabs>
        <w:autoSpaceDE w:val="0"/>
        <w:autoSpaceDN w:val="0"/>
        <w:adjustRightInd w:val="0"/>
        <w:spacing w:line="360" w:lineRule="auto"/>
        <w:ind w:right="210" w:firstLine="2835" w:firstLineChars="1350"/>
        <w:rPr>
          <w:rFonts w:hint="eastAsia" w:ascii="宋体" w:hAnsi="宋体" w:cs="MingLiU"/>
          <w:snapToGrid w:val="0"/>
          <w:kern w:val="0"/>
          <w:szCs w:val="21"/>
          <w:highlight w:val="none"/>
        </w:rPr>
      </w:pPr>
    </w:p>
    <w:p w14:paraId="2DDC9616">
      <w:pPr>
        <w:tabs>
          <w:tab w:val="left" w:pos="7140"/>
          <w:tab w:val="left" w:pos="7560"/>
          <w:tab w:val="left" w:pos="8300"/>
        </w:tabs>
        <w:autoSpaceDE w:val="0"/>
        <w:autoSpaceDN w:val="0"/>
        <w:adjustRightInd w:val="0"/>
        <w:spacing w:line="360" w:lineRule="auto"/>
        <w:ind w:right="210" w:firstLine="2709" w:firstLineChars="1290"/>
        <w:rPr>
          <w:rFonts w:hint="eastAsia" w:ascii="宋体" w:hAnsi="宋体"/>
          <w:snapToGrid w:val="0"/>
          <w:kern w:val="0"/>
          <w:szCs w:val="21"/>
          <w:highlight w:val="none"/>
        </w:rPr>
      </w:pPr>
      <w:r>
        <w:rPr>
          <w:rFonts w:hint="eastAsia" w:ascii="宋体" w:hAnsi="宋体" w:cs="MingLiU"/>
          <w:snapToGrid w:val="0"/>
          <w:kern w:val="0"/>
          <w:szCs w:val="21"/>
          <w:highlight w:val="none"/>
        </w:rPr>
        <w:t>竞争性比选单位：</w:t>
      </w:r>
      <w:r>
        <w:rPr>
          <w:rFonts w:hint="eastAsia" w:ascii="宋体" w:hAnsi="宋体" w:cs="MingLiU"/>
          <w:snapToGrid w:val="0"/>
          <w:kern w:val="0"/>
          <w:szCs w:val="21"/>
          <w:highlight w:val="none"/>
          <w:u w:val="single"/>
        </w:rPr>
        <w:t xml:space="preserve">              　　　     </w:t>
      </w:r>
      <w:r>
        <w:rPr>
          <w:rFonts w:hint="eastAsia" w:ascii="宋体" w:hAnsi="宋体" w:cs="MingLiU"/>
          <w:snapToGrid w:val="0"/>
          <w:kern w:val="0"/>
          <w:szCs w:val="21"/>
          <w:highlight w:val="none"/>
        </w:rPr>
        <w:t>（盖单位公章）</w:t>
      </w:r>
      <w:r>
        <w:rPr>
          <w:rFonts w:ascii="宋体" w:hAnsi="宋体"/>
          <w:snapToGrid w:val="0"/>
          <w:kern w:val="0"/>
          <w:szCs w:val="21"/>
          <w:highlight w:val="none"/>
        </w:rPr>
        <w:t xml:space="preserve"> </w:t>
      </w:r>
    </w:p>
    <w:p w14:paraId="3469B75D">
      <w:pPr>
        <w:tabs>
          <w:tab w:val="left" w:pos="7140"/>
          <w:tab w:val="left" w:pos="7560"/>
          <w:tab w:val="left" w:pos="8300"/>
        </w:tabs>
        <w:autoSpaceDE w:val="0"/>
        <w:autoSpaceDN w:val="0"/>
        <w:adjustRightInd w:val="0"/>
        <w:spacing w:line="360" w:lineRule="auto"/>
        <w:ind w:right="210" w:firstLine="1995" w:firstLineChars="950"/>
        <w:rPr>
          <w:rFonts w:hint="eastAsia" w:ascii="宋体" w:hAnsi="宋体" w:cs="MingLiU"/>
          <w:snapToGrid w:val="0"/>
          <w:kern w:val="0"/>
          <w:szCs w:val="21"/>
          <w:highlight w:val="none"/>
        </w:rPr>
      </w:pPr>
    </w:p>
    <w:p w14:paraId="691477D3">
      <w:pPr>
        <w:tabs>
          <w:tab w:val="left" w:pos="7140"/>
          <w:tab w:val="left" w:pos="7560"/>
          <w:tab w:val="left" w:pos="8300"/>
        </w:tabs>
        <w:autoSpaceDE w:val="0"/>
        <w:autoSpaceDN w:val="0"/>
        <w:adjustRightInd w:val="0"/>
        <w:spacing w:line="360" w:lineRule="auto"/>
        <w:ind w:right="210" w:firstLine="2730" w:firstLineChars="1300"/>
        <w:rPr>
          <w:rFonts w:hint="eastAsia" w:ascii="宋体" w:hAnsi="宋体" w:cs="MingLiU"/>
          <w:snapToGrid w:val="0"/>
          <w:kern w:val="0"/>
          <w:sz w:val="24"/>
          <w:highlight w:val="none"/>
        </w:rPr>
      </w:pPr>
      <w:r>
        <w:rPr>
          <w:rFonts w:hint="eastAsia" w:ascii="宋体" w:hAnsi="宋体" w:cs="MingLiU"/>
          <w:snapToGrid w:val="0"/>
          <w:kern w:val="0"/>
          <w:szCs w:val="21"/>
          <w:highlight w:val="none"/>
        </w:rPr>
        <w:t>法定</w:t>
      </w:r>
      <w:r>
        <w:rPr>
          <w:rFonts w:hint="eastAsia" w:ascii="宋体" w:hAnsi="宋体"/>
          <w:szCs w:val="21"/>
          <w:highlight w:val="none"/>
        </w:rPr>
        <w:t xml:space="preserve">代表人或委托代理人：  </w:t>
      </w:r>
      <w:r>
        <w:rPr>
          <w:rFonts w:hint="eastAsia" w:ascii="宋体" w:hAnsi="宋体" w:cs="MingLiU"/>
          <w:snapToGrid w:val="0"/>
          <w:kern w:val="0"/>
          <w:szCs w:val="21"/>
          <w:highlight w:val="none"/>
          <w:u w:val="single"/>
        </w:rPr>
        <w:t xml:space="preserve">                       </w:t>
      </w:r>
      <w:r>
        <w:rPr>
          <w:rFonts w:hint="eastAsia" w:ascii="宋体" w:hAnsi="宋体"/>
          <w:szCs w:val="21"/>
          <w:highlight w:val="none"/>
        </w:rPr>
        <w:t>（签字或盖章）</w:t>
      </w:r>
    </w:p>
    <w:p w14:paraId="7CF5B659">
      <w:pPr>
        <w:spacing w:line="500" w:lineRule="exact"/>
        <w:ind w:right="420" w:firstLine="3570" w:firstLineChars="1700"/>
        <w:rPr>
          <w:rFonts w:hint="eastAsia" w:ascii="宋体" w:hAnsi="宋体"/>
          <w:szCs w:val="21"/>
          <w:highlight w:val="none"/>
        </w:rPr>
      </w:pPr>
      <w:r>
        <w:rPr>
          <w:rFonts w:hint="eastAsia" w:ascii="宋体" w:hAnsi="宋体"/>
          <w:szCs w:val="21"/>
          <w:highlight w:val="none"/>
          <w:u w:val="single"/>
        </w:rPr>
        <w:t xml:space="preserve">      </w:t>
      </w:r>
      <w:r>
        <w:rPr>
          <w:rFonts w:hint="eastAsia" w:ascii="宋体" w:hAnsi="宋体"/>
          <w:szCs w:val="21"/>
          <w:highlight w:val="none"/>
        </w:rPr>
        <w:t>年</w:t>
      </w:r>
      <w:r>
        <w:rPr>
          <w:rFonts w:hint="eastAsia" w:ascii="宋体" w:hAnsi="宋体"/>
          <w:szCs w:val="21"/>
          <w:highlight w:val="none"/>
          <w:u w:val="single"/>
        </w:rPr>
        <w:t xml:space="preserve">      </w:t>
      </w:r>
      <w:r>
        <w:rPr>
          <w:rFonts w:hint="eastAsia" w:ascii="宋体" w:hAnsi="宋体"/>
          <w:szCs w:val="21"/>
          <w:highlight w:val="none"/>
        </w:rPr>
        <w:t>月</w:t>
      </w:r>
      <w:r>
        <w:rPr>
          <w:rFonts w:hint="eastAsia" w:ascii="宋体" w:hAnsi="宋体"/>
          <w:szCs w:val="21"/>
          <w:highlight w:val="none"/>
          <w:u w:val="single"/>
        </w:rPr>
        <w:t xml:space="preserve">      </w:t>
      </w:r>
      <w:r>
        <w:rPr>
          <w:rFonts w:hint="eastAsia" w:ascii="宋体" w:hAnsi="宋体"/>
          <w:szCs w:val="21"/>
          <w:highlight w:val="none"/>
        </w:rPr>
        <w:t>日</w:t>
      </w:r>
    </w:p>
    <w:p w14:paraId="75F9ECAF">
      <w:pPr>
        <w:tabs>
          <w:tab w:val="left" w:pos="6000"/>
          <w:tab w:val="left" w:pos="7040"/>
          <w:tab w:val="left" w:pos="8100"/>
        </w:tabs>
        <w:autoSpaceDE w:val="0"/>
        <w:autoSpaceDN w:val="0"/>
        <w:adjustRightInd w:val="0"/>
        <w:spacing w:line="500" w:lineRule="exact"/>
        <w:ind w:right="-20" w:firstLine="4924" w:firstLineChars="2345"/>
        <w:jc w:val="left"/>
        <w:rPr>
          <w:rFonts w:hint="eastAsia" w:ascii="宋体" w:hAnsi="宋体"/>
          <w:snapToGrid w:val="0"/>
          <w:kern w:val="0"/>
          <w:highlight w:val="none"/>
        </w:rPr>
      </w:pPr>
    </w:p>
    <w:bookmarkEnd w:id="1521"/>
    <w:p w14:paraId="6601FF35">
      <w:pPr>
        <w:pStyle w:val="5"/>
        <w:snapToGrid w:val="0"/>
        <w:spacing w:line="500" w:lineRule="exact"/>
        <w:rPr>
          <w:rFonts w:hint="eastAsia" w:ascii="宋体" w:hAnsi="宋体" w:eastAsia="宋体"/>
          <w:sz w:val="28"/>
          <w:highlight w:val="none"/>
        </w:rPr>
      </w:pPr>
    </w:p>
    <w:p w14:paraId="1D4FCDA0">
      <w:pPr>
        <w:spacing w:line="500" w:lineRule="exact"/>
        <w:ind w:firstLine="643" w:firstLineChars="200"/>
        <w:jc w:val="center"/>
        <w:rPr>
          <w:rFonts w:hint="eastAsia" w:ascii="宋体" w:hAnsi="宋体"/>
          <w:b/>
          <w:sz w:val="32"/>
          <w:szCs w:val="32"/>
          <w:highlight w:val="none"/>
        </w:rPr>
      </w:pPr>
    </w:p>
    <w:p w14:paraId="63976CB0">
      <w:pPr>
        <w:spacing w:line="500" w:lineRule="exact"/>
        <w:ind w:firstLine="643" w:firstLineChars="200"/>
        <w:jc w:val="center"/>
        <w:rPr>
          <w:rFonts w:hint="eastAsia" w:ascii="宋体" w:hAnsi="宋体"/>
          <w:b/>
          <w:sz w:val="32"/>
          <w:szCs w:val="32"/>
          <w:highlight w:val="none"/>
        </w:rPr>
      </w:pPr>
    </w:p>
    <w:p w14:paraId="59ED2301">
      <w:pPr>
        <w:spacing w:line="500" w:lineRule="exact"/>
        <w:ind w:firstLine="643" w:firstLineChars="200"/>
        <w:jc w:val="center"/>
        <w:rPr>
          <w:rFonts w:hint="eastAsia" w:ascii="宋体" w:hAnsi="宋体"/>
          <w:b/>
          <w:sz w:val="32"/>
          <w:szCs w:val="32"/>
          <w:highlight w:val="none"/>
        </w:rPr>
      </w:pPr>
    </w:p>
    <w:p w14:paraId="0CB9C839">
      <w:pPr>
        <w:spacing w:line="500" w:lineRule="exact"/>
        <w:ind w:firstLine="643" w:firstLineChars="200"/>
        <w:jc w:val="center"/>
        <w:rPr>
          <w:rFonts w:hint="eastAsia" w:ascii="宋体" w:hAnsi="宋体"/>
          <w:b/>
          <w:sz w:val="32"/>
          <w:szCs w:val="32"/>
          <w:highlight w:val="none"/>
        </w:rPr>
      </w:pPr>
    </w:p>
    <w:p w14:paraId="574A8F73">
      <w:pPr>
        <w:spacing w:line="500" w:lineRule="exact"/>
        <w:jc w:val="center"/>
        <w:rPr>
          <w:rFonts w:hint="eastAsia" w:ascii="宋体" w:hAnsi="宋体"/>
          <w:b/>
          <w:sz w:val="32"/>
          <w:szCs w:val="32"/>
          <w:highlight w:val="none"/>
        </w:rPr>
      </w:pPr>
      <w:r>
        <w:rPr>
          <w:rFonts w:ascii="宋体" w:hAnsi="宋体"/>
          <w:b/>
          <w:sz w:val="32"/>
          <w:szCs w:val="32"/>
          <w:highlight w:val="none"/>
        </w:rPr>
        <w:br w:type="page"/>
      </w:r>
      <w:r>
        <w:rPr>
          <w:rFonts w:hint="eastAsia" w:ascii="宋体" w:hAnsi="宋体"/>
          <w:b/>
          <w:sz w:val="32"/>
          <w:szCs w:val="32"/>
          <w:highlight w:val="none"/>
        </w:rPr>
        <w:t>（二）法定代表人身份证明书</w:t>
      </w:r>
    </w:p>
    <w:p w14:paraId="09EFD522">
      <w:pPr>
        <w:spacing w:line="500" w:lineRule="exact"/>
        <w:ind w:firstLine="643" w:firstLineChars="200"/>
        <w:jc w:val="center"/>
        <w:rPr>
          <w:rFonts w:hint="eastAsia" w:ascii="宋体" w:hAnsi="宋体"/>
          <w:b/>
          <w:sz w:val="32"/>
          <w:szCs w:val="32"/>
          <w:highlight w:val="none"/>
        </w:rPr>
      </w:pPr>
      <w:r>
        <w:rPr>
          <w:rFonts w:hint="eastAsia" w:ascii="宋体" w:hAnsi="宋体" w:cs="MingLiU"/>
          <w:b/>
          <w:kern w:val="0"/>
          <w:sz w:val="32"/>
          <w:szCs w:val="32"/>
          <w:highlight w:val="none"/>
        </w:rPr>
        <w:t>或附有法定代表人身份证明书的法人授权委托书</w:t>
      </w:r>
    </w:p>
    <w:p w14:paraId="3848E637">
      <w:pPr>
        <w:spacing w:line="500" w:lineRule="exact"/>
        <w:ind w:firstLine="643" w:firstLineChars="200"/>
        <w:jc w:val="center"/>
        <w:rPr>
          <w:rFonts w:hint="eastAsia" w:ascii="宋体" w:hAnsi="宋体"/>
          <w:b/>
          <w:sz w:val="32"/>
          <w:szCs w:val="32"/>
          <w:highlight w:val="none"/>
        </w:rPr>
      </w:pPr>
    </w:p>
    <w:p w14:paraId="3375290D">
      <w:pPr>
        <w:spacing w:line="500" w:lineRule="exact"/>
        <w:ind w:firstLine="562" w:firstLineChars="200"/>
        <w:jc w:val="center"/>
        <w:rPr>
          <w:rFonts w:hint="eastAsia" w:ascii="宋体" w:hAnsi="宋体"/>
          <w:b/>
          <w:sz w:val="24"/>
          <w:highlight w:val="none"/>
        </w:rPr>
      </w:pPr>
      <w:r>
        <w:rPr>
          <w:rFonts w:hint="eastAsia" w:ascii="宋体" w:hAnsi="宋体"/>
          <w:b/>
          <w:sz w:val="28"/>
          <w:szCs w:val="28"/>
          <w:highlight w:val="none"/>
        </w:rPr>
        <w:t>法定代表人身份证明书</w:t>
      </w:r>
    </w:p>
    <w:p w14:paraId="0964BD97">
      <w:pPr>
        <w:spacing w:line="500" w:lineRule="exact"/>
        <w:ind w:firstLine="422" w:firstLineChars="200"/>
        <w:jc w:val="center"/>
        <w:rPr>
          <w:rFonts w:hint="eastAsia" w:ascii="宋体" w:hAnsi="宋体"/>
          <w:b/>
          <w:szCs w:val="21"/>
          <w:highlight w:val="none"/>
        </w:rPr>
      </w:pPr>
    </w:p>
    <w:p w14:paraId="72A794DE">
      <w:pPr>
        <w:spacing w:line="500" w:lineRule="exact"/>
        <w:ind w:firstLine="420" w:firstLineChars="200"/>
        <w:rPr>
          <w:rFonts w:hint="eastAsia" w:ascii="宋体" w:hAnsi="宋体"/>
          <w:szCs w:val="21"/>
          <w:highlight w:val="none"/>
          <w:u w:val="single"/>
        </w:rPr>
      </w:pPr>
      <w:r>
        <w:rPr>
          <w:rFonts w:hint="eastAsia" w:ascii="宋体" w:hAnsi="宋体"/>
          <w:szCs w:val="21"/>
          <w:highlight w:val="none"/>
        </w:rPr>
        <w:t>竞争性比选单位名称：</w:t>
      </w:r>
      <w:r>
        <w:rPr>
          <w:rFonts w:hint="eastAsia" w:ascii="宋体" w:hAnsi="宋体"/>
          <w:szCs w:val="21"/>
          <w:highlight w:val="none"/>
          <w:u w:val="single"/>
        </w:rPr>
        <w:t xml:space="preserve">                                                                     </w:t>
      </w:r>
    </w:p>
    <w:p w14:paraId="418D582A">
      <w:pPr>
        <w:spacing w:line="500" w:lineRule="exact"/>
        <w:ind w:firstLine="420" w:firstLineChars="200"/>
        <w:rPr>
          <w:rFonts w:hint="eastAsia" w:ascii="宋体" w:hAnsi="宋体"/>
          <w:szCs w:val="21"/>
          <w:highlight w:val="none"/>
        </w:rPr>
      </w:pPr>
      <w:r>
        <w:rPr>
          <w:rFonts w:hint="eastAsia" w:ascii="宋体" w:hAnsi="宋体"/>
          <w:szCs w:val="21"/>
          <w:highlight w:val="none"/>
        </w:rPr>
        <w:t>单位性质：</w:t>
      </w:r>
      <w:r>
        <w:rPr>
          <w:rFonts w:hint="eastAsia" w:ascii="宋体" w:hAnsi="宋体"/>
          <w:szCs w:val="21"/>
          <w:highlight w:val="none"/>
          <w:u w:val="single"/>
        </w:rPr>
        <w:t xml:space="preserve">                                                                       </w:t>
      </w:r>
    </w:p>
    <w:p w14:paraId="0E013BBB">
      <w:pPr>
        <w:spacing w:line="500" w:lineRule="exact"/>
        <w:ind w:firstLine="420" w:firstLineChars="200"/>
        <w:rPr>
          <w:rFonts w:hint="eastAsia" w:ascii="宋体" w:hAnsi="宋体"/>
          <w:szCs w:val="21"/>
          <w:highlight w:val="none"/>
        </w:rPr>
      </w:pPr>
      <w:r>
        <w:rPr>
          <w:rFonts w:hint="eastAsia" w:ascii="宋体" w:hAnsi="宋体"/>
          <w:szCs w:val="21"/>
          <w:highlight w:val="none"/>
        </w:rPr>
        <w:t>地    址：</w:t>
      </w:r>
      <w:r>
        <w:rPr>
          <w:rFonts w:hint="eastAsia" w:ascii="宋体" w:hAnsi="宋体"/>
          <w:szCs w:val="21"/>
          <w:highlight w:val="none"/>
          <w:u w:val="single"/>
        </w:rPr>
        <w:t xml:space="preserve">                                                                       </w:t>
      </w:r>
    </w:p>
    <w:p w14:paraId="35DBBBE3">
      <w:pPr>
        <w:spacing w:line="500" w:lineRule="exact"/>
        <w:ind w:firstLine="420" w:firstLineChars="200"/>
        <w:rPr>
          <w:rFonts w:hint="eastAsia" w:ascii="宋体" w:hAnsi="宋体"/>
          <w:szCs w:val="21"/>
          <w:highlight w:val="none"/>
        </w:rPr>
      </w:pPr>
      <w:r>
        <w:rPr>
          <w:rFonts w:hint="eastAsia" w:ascii="宋体" w:hAnsi="宋体"/>
          <w:szCs w:val="21"/>
          <w:highlight w:val="none"/>
        </w:rPr>
        <w:t>成立时间：</w:t>
      </w:r>
      <w:r>
        <w:rPr>
          <w:rFonts w:hint="eastAsia" w:ascii="宋体" w:hAnsi="宋体"/>
          <w:szCs w:val="21"/>
          <w:highlight w:val="none"/>
          <w:u w:val="single"/>
        </w:rPr>
        <w:t xml:space="preserve">     </w:t>
      </w:r>
      <w:r>
        <w:rPr>
          <w:rFonts w:hint="eastAsia" w:ascii="宋体" w:hAnsi="宋体"/>
          <w:szCs w:val="21"/>
          <w:highlight w:val="none"/>
        </w:rPr>
        <w:t xml:space="preserve"> 年</w:t>
      </w:r>
      <w:r>
        <w:rPr>
          <w:rFonts w:hint="eastAsia" w:ascii="宋体" w:hAnsi="宋体"/>
          <w:szCs w:val="21"/>
          <w:highlight w:val="none"/>
          <w:u w:val="single"/>
        </w:rPr>
        <w:t xml:space="preserve">     </w:t>
      </w:r>
      <w:r>
        <w:rPr>
          <w:rFonts w:hint="eastAsia" w:ascii="宋体" w:hAnsi="宋体"/>
          <w:szCs w:val="21"/>
          <w:highlight w:val="none"/>
        </w:rPr>
        <w:t>月</w:t>
      </w:r>
      <w:r>
        <w:rPr>
          <w:rFonts w:hint="eastAsia" w:ascii="宋体" w:hAnsi="宋体"/>
          <w:szCs w:val="21"/>
          <w:highlight w:val="none"/>
          <w:u w:val="single"/>
        </w:rPr>
        <w:t xml:space="preserve">     </w:t>
      </w:r>
      <w:r>
        <w:rPr>
          <w:rFonts w:hint="eastAsia" w:ascii="宋体" w:hAnsi="宋体"/>
          <w:szCs w:val="21"/>
          <w:highlight w:val="none"/>
        </w:rPr>
        <w:t>日</w:t>
      </w:r>
    </w:p>
    <w:p w14:paraId="235F20C2">
      <w:pPr>
        <w:spacing w:line="500" w:lineRule="exact"/>
        <w:ind w:firstLine="420" w:firstLineChars="200"/>
        <w:rPr>
          <w:rFonts w:hint="eastAsia" w:ascii="宋体" w:hAnsi="宋体"/>
          <w:szCs w:val="21"/>
          <w:highlight w:val="none"/>
        </w:rPr>
      </w:pPr>
      <w:r>
        <w:rPr>
          <w:rFonts w:hint="eastAsia" w:ascii="宋体" w:hAnsi="宋体"/>
          <w:szCs w:val="21"/>
          <w:highlight w:val="none"/>
        </w:rPr>
        <w:t>经营期限：</w:t>
      </w:r>
      <w:r>
        <w:rPr>
          <w:rFonts w:hint="eastAsia" w:ascii="宋体" w:hAnsi="宋体"/>
          <w:szCs w:val="21"/>
          <w:highlight w:val="none"/>
          <w:u w:val="single"/>
        </w:rPr>
        <w:t xml:space="preserve">                                                                       </w:t>
      </w:r>
    </w:p>
    <w:p w14:paraId="5E2AC426">
      <w:pPr>
        <w:spacing w:line="500" w:lineRule="exact"/>
        <w:ind w:firstLine="420" w:firstLineChars="200"/>
        <w:rPr>
          <w:rFonts w:hint="eastAsia" w:ascii="宋体" w:hAnsi="宋体"/>
          <w:szCs w:val="21"/>
          <w:highlight w:val="none"/>
        </w:rPr>
      </w:pPr>
      <w:r>
        <w:rPr>
          <w:rFonts w:hint="eastAsia" w:ascii="宋体" w:hAnsi="宋体"/>
          <w:szCs w:val="21"/>
          <w:highlight w:val="none"/>
        </w:rPr>
        <w:t>姓名：</w:t>
      </w:r>
      <w:r>
        <w:rPr>
          <w:rFonts w:hint="eastAsia" w:ascii="宋体" w:hAnsi="宋体"/>
          <w:szCs w:val="21"/>
          <w:highlight w:val="none"/>
          <w:u w:val="single"/>
        </w:rPr>
        <w:t xml:space="preserve">     </w:t>
      </w:r>
      <w:r>
        <w:rPr>
          <w:rFonts w:hint="eastAsia" w:ascii="宋体" w:hAnsi="宋体"/>
          <w:szCs w:val="21"/>
          <w:highlight w:val="none"/>
        </w:rPr>
        <w:t xml:space="preserve"> 性别：</w:t>
      </w:r>
      <w:r>
        <w:rPr>
          <w:rFonts w:hint="eastAsia" w:ascii="宋体" w:hAnsi="宋体"/>
          <w:szCs w:val="21"/>
          <w:highlight w:val="none"/>
          <w:u w:val="single"/>
        </w:rPr>
        <w:t xml:space="preserve">     </w:t>
      </w:r>
      <w:r>
        <w:rPr>
          <w:rFonts w:hint="eastAsia" w:ascii="宋体" w:hAnsi="宋体"/>
          <w:szCs w:val="21"/>
          <w:highlight w:val="none"/>
        </w:rPr>
        <w:t xml:space="preserve"> 年龄：</w:t>
      </w:r>
      <w:r>
        <w:rPr>
          <w:rFonts w:hint="eastAsia" w:ascii="宋体" w:hAnsi="宋体"/>
          <w:szCs w:val="21"/>
          <w:highlight w:val="none"/>
          <w:u w:val="single"/>
        </w:rPr>
        <w:t xml:space="preserve">     </w:t>
      </w:r>
      <w:r>
        <w:rPr>
          <w:rFonts w:hint="eastAsia" w:ascii="宋体" w:hAnsi="宋体"/>
          <w:szCs w:val="21"/>
          <w:highlight w:val="none"/>
        </w:rPr>
        <w:t xml:space="preserve"> 职务：</w:t>
      </w:r>
      <w:r>
        <w:rPr>
          <w:rFonts w:hint="eastAsia" w:ascii="宋体" w:hAnsi="宋体"/>
          <w:szCs w:val="21"/>
          <w:highlight w:val="none"/>
          <w:u w:val="single"/>
        </w:rPr>
        <w:t xml:space="preserve">        </w:t>
      </w:r>
      <w:r>
        <w:rPr>
          <w:rFonts w:hint="eastAsia" w:ascii="宋体" w:hAnsi="宋体"/>
          <w:szCs w:val="21"/>
          <w:highlight w:val="none"/>
        </w:rPr>
        <w:t>系</w:t>
      </w:r>
      <w:r>
        <w:rPr>
          <w:rFonts w:hint="eastAsia" w:ascii="宋体" w:hAnsi="宋体"/>
          <w:szCs w:val="21"/>
          <w:highlight w:val="none"/>
          <w:u w:val="single"/>
        </w:rPr>
        <w:t xml:space="preserve">                 </w:t>
      </w:r>
      <w:r>
        <w:rPr>
          <w:rFonts w:hint="eastAsia" w:ascii="宋体" w:hAnsi="宋体"/>
          <w:szCs w:val="21"/>
          <w:highlight w:val="none"/>
        </w:rPr>
        <w:t>（竞争性比选单位名称）的法定代表人。</w:t>
      </w:r>
    </w:p>
    <w:p w14:paraId="34898AFF">
      <w:pPr>
        <w:spacing w:line="500" w:lineRule="exact"/>
        <w:ind w:firstLine="850" w:firstLineChars="405"/>
        <w:rPr>
          <w:rFonts w:hint="eastAsia" w:ascii="宋体" w:hAnsi="宋体"/>
          <w:szCs w:val="21"/>
          <w:highlight w:val="none"/>
        </w:rPr>
      </w:pPr>
      <w:r>
        <w:rPr>
          <w:rFonts w:hint="eastAsia" w:ascii="宋体" w:hAnsi="宋体"/>
          <w:szCs w:val="21"/>
          <w:highlight w:val="none"/>
        </w:rPr>
        <w:t>特此证明。</w:t>
      </w:r>
    </w:p>
    <w:p w14:paraId="18DB1444">
      <w:pPr>
        <w:spacing w:line="500" w:lineRule="exact"/>
        <w:ind w:firstLine="420" w:firstLineChars="200"/>
        <w:jc w:val="right"/>
        <w:rPr>
          <w:rFonts w:hint="eastAsia" w:ascii="宋体" w:hAnsi="宋体"/>
          <w:szCs w:val="21"/>
          <w:highlight w:val="none"/>
        </w:rPr>
      </w:pPr>
    </w:p>
    <w:p w14:paraId="0D1032A7">
      <w:pPr>
        <w:spacing w:line="500" w:lineRule="exact"/>
        <w:ind w:firstLine="420" w:firstLineChars="200"/>
        <w:jc w:val="right"/>
        <w:rPr>
          <w:rFonts w:hint="eastAsia" w:ascii="宋体" w:hAnsi="宋体"/>
          <w:szCs w:val="21"/>
          <w:highlight w:val="none"/>
        </w:rPr>
      </w:pPr>
    </w:p>
    <w:p w14:paraId="5A738754">
      <w:pPr>
        <w:spacing w:line="500" w:lineRule="exact"/>
        <w:ind w:right="420" w:firstLine="420" w:firstLineChars="200"/>
        <w:jc w:val="center"/>
        <w:rPr>
          <w:rFonts w:hint="eastAsia" w:ascii="宋体" w:hAnsi="宋体"/>
          <w:szCs w:val="21"/>
          <w:highlight w:val="none"/>
        </w:rPr>
      </w:pPr>
    </w:p>
    <w:p w14:paraId="098AC4BE">
      <w:pPr>
        <w:spacing w:line="500" w:lineRule="exact"/>
        <w:ind w:right="420" w:firstLine="420" w:firstLineChars="200"/>
        <w:jc w:val="center"/>
        <w:rPr>
          <w:rFonts w:hint="eastAsia" w:ascii="宋体" w:hAnsi="宋体"/>
          <w:szCs w:val="21"/>
          <w:highlight w:val="none"/>
        </w:rPr>
      </w:pPr>
    </w:p>
    <w:p w14:paraId="7B6DC4C0">
      <w:pPr>
        <w:spacing w:line="500" w:lineRule="exact"/>
        <w:ind w:right="420" w:firstLine="420" w:firstLineChars="200"/>
        <w:jc w:val="center"/>
        <w:rPr>
          <w:rFonts w:hint="eastAsia" w:ascii="宋体" w:hAnsi="宋体"/>
          <w:szCs w:val="21"/>
          <w:highlight w:val="none"/>
        </w:rPr>
      </w:pPr>
      <w:r>
        <w:rPr>
          <w:rFonts w:hint="eastAsia" w:ascii="宋体" w:hAnsi="宋体"/>
          <w:szCs w:val="21"/>
          <w:highlight w:val="none"/>
        </w:rPr>
        <w:t>（附法定代表人第二代身份证复印件，正、反面均须复印）</w:t>
      </w:r>
    </w:p>
    <w:p w14:paraId="0163C0A3">
      <w:pPr>
        <w:spacing w:line="500" w:lineRule="exact"/>
        <w:ind w:right="420" w:firstLine="420" w:firstLineChars="200"/>
        <w:jc w:val="center"/>
        <w:rPr>
          <w:rFonts w:hint="eastAsia" w:ascii="宋体" w:hAnsi="宋体"/>
          <w:szCs w:val="21"/>
          <w:highlight w:val="none"/>
        </w:rPr>
      </w:pPr>
      <w:r>
        <w:rPr>
          <w:rFonts w:hint="eastAsia" w:ascii="宋体" w:hAnsi="宋体"/>
          <w:szCs w:val="21"/>
          <w:highlight w:val="none"/>
        </w:rPr>
        <w:t xml:space="preserve">                </w:t>
      </w:r>
    </w:p>
    <w:p w14:paraId="55AD9BBA">
      <w:pPr>
        <w:spacing w:line="500" w:lineRule="exact"/>
        <w:ind w:right="420" w:firstLine="420" w:firstLineChars="200"/>
        <w:jc w:val="center"/>
        <w:rPr>
          <w:rFonts w:hint="eastAsia" w:ascii="宋体" w:hAnsi="宋体"/>
          <w:szCs w:val="21"/>
          <w:highlight w:val="none"/>
        </w:rPr>
      </w:pPr>
    </w:p>
    <w:p w14:paraId="31C89577">
      <w:pPr>
        <w:spacing w:line="500" w:lineRule="exact"/>
        <w:ind w:right="420" w:firstLine="420" w:firstLineChars="200"/>
        <w:jc w:val="center"/>
        <w:rPr>
          <w:rFonts w:hint="eastAsia" w:ascii="宋体" w:hAnsi="宋体"/>
          <w:szCs w:val="21"/>
          <w:highlight w:val="none"/>
        </w:rPr>
      </w:pPr>
    </w:p>
    <w:p w14:paraId="1F7ED910">
      <w:pPr>
        <w:spacing w:line="500" w:lineRule="exact"/>
        <w:ind w:right="420" w:firstLine="420" w:firstLineChars="200"/>
        <w:jc w:val="center"/>
        <w:rPr>
          <w:rFonts w:hint="eastAsia" w:ascii="宋体" w:hAnsi="宋体"/>
          <w:szCs w:val="21"/>
          <w:highlight w:val="none"/>
        </w:rPr>
      </w:pPr>
    </w:p>
    <w:p w14:paraId="29662DC6">
      <w:pPr>
        <w:spacing w:line="500" w:lineRule="exact"/>
        <w:ind w:right="420"/>
        <w:rPr>
          <w:rFonts w:hint="eastAsia" w:ascii="宋体" w:hAnsi="宋体"/>
          <w:szCs w:val="21"/>
          <w:highlight w:val="none"/>
        </w:rPr>
      </w:pPr>
    </w:p>
    <w:p w14:paraId="7FEFB8A7">
      <w:pPr>
        <w:spacing w:line="500" w:lineRule="exact"/>
        <w:ind w:right="420" w:firstLine="420" w:firstLineChars="200"/>
        <w:jc w:val="center"/>
        <w:rPr>
          <w:rFonts w:hint="eastAsia" w:ascii="宋体" w:hAnsi="宋体"/>
          <w:szCs w:val="21"/>
          <w:highlight w:val="none"/>
        </w:rPr>
      </w:pPr>
      <w:r>
        <w:rPr>
          <w:rFonts w:hint="eastAsia" w:ascii="宋体" w:hAnsi="宋体"/>
          <w:szCs w:val="21"/>
          <w:highlight w:val="none"/>
        </w:rPr>
        <w:t xml:space="preserve">    竞争性比选单位：</w:t>
      </w:r>
      <w:r>
        <w:rPr>
          <w:rFonts w:hint="eastAsia" w:ascii="宋体" w:hAnsi="宋体"/>
          <w:szCs w:val="21"/>
          <w:highlight w:val="none"/>
          <w:u w:val="single"/>
        </w:rPr>
        <w:t xml:space="preserve">               </w:t>
      </w:r>
      <w:r>
        <w:rPr>
          <w:rFonts w:hint="eastAsia" w:ascii="宋体" w:hAnsi="宋体"/>
          <w:szCs w:val="21"/>
          <w:highlight w:val="none"/>
        </w:rPr>
        <w:t>（盖单位公章）</w:t>
      </w:r>
    </w:p>
    <w:p w14:paraId="441D3F98">
      <w:pPr>
        <w:spacing w:line="500" w:lineRule="exact"/>
        <w:ind w:right="560" w:firstLine="4305" w:firstLineChars="2050"/>
        <w:rPr>
          <w:rFonts w:hint="eastAsia" w:ascii="宋体" w:hAnsi="宋体"/>
          <w:szCs w:val="21"/>
          <w:highlight w:val="none"/>
        </w:rPr>
      </w:pPr>
      <w:r>
        <w:rPr>
          <w:rFonts w:hint="eastAsia" w:ascii="宋体" w:hAnsi="宋体"/>
          <w:szCs w:val="21"/>
          <w:highlight w:val="none"/>
          <w:u w:val="single"/>
        </w:rPr>
        <w:t xml:space="preserve">    </w:t>
      </w:r>
      <w:r>
        <w:rPr>
          <w:rFonts w:hint="eastAsia" w:ascii="宋体" w:hAnsi="宋体"/>
          <w:szCs w:val="21"/>
          <w:highlight w:val="none"/>
        </w:rPr>
        <w:t>年</w:t>
      </w:r>
      <w:r>
        <w:rPr>
          <w:rFonts w:hint="eastAsia" w:ascii="宋体" w:hAnsi="宋体"/>
          <w:szCs w:val="21"/>
          <w:highlight w:val="none"/>
          <w:u w:val="single"/>
        </w:rPr>
        <w:t xml:space="preserve">    </w:t>
      </w:r>
      <w:r>
        <w:rPr>
          <w:rFonts w:hint="eastAsia" w:ascii="宋体" w:hAnsi="宋体"/>
          <w:szCs w:val="21"/>
          <w:highlight w:val="none"/>
        </w:rPr>
        <w:t>月</w:t>
      </w:r>
      <w:r>
        <w:rPr>
          <w:rFonts w:hint="eastAsia" w:ascii="宋体" w:hAnsi="宋体"/>
          <w:szCs w:val="21"/>
          <w:highlight w:val="none"/>
          <w:u w:val="single"/>
        </w:rPr>
        <w:t xml:space="preserve">    </w:t>
      </w:r>
      <w:r>
        <w:rPr>
          <w:rFonts w:hint="eastAsia" w:ascii="宋体" w:hAnsi="宋体"/>
          <w:szCs w:val="21"/>
          <w:highlight w:val="none"/>
        </w:rPr>
        <w:t>日</w:t>
      </w:r>
    </w:p>
    <w:p w14:paraId="40E11424">
      <w:pPr>
        <w:pStyle w:val="5"/>
        <w:spacing w:line="500" w:lineRule="exact"/>
        <w:jc w:val="center"/>
        <w:rPr>
          <w:rFonts w:hint="eastAsia" w:ascii="宋体" w:hAnsi="宋体" w:eastAsia="宋体"/>
          <w:highlight w:val="none"/>
        </w:rPr>
      </w:pPr>
      <w:r>
        <w:rPr>
          <w:rFonts w:hint="eastAsia" w:ascii="宋体" w:hAnsi="宋体" w:eastAsia="宋体"/>
          <w:szCs w:val="21"/>
          <w:highlight w:val="none"/>
        </w:rPr>
        <w:br w:type="page"/>
      </w:r>
      <w:bookmarkStart w:id="1522" w:name="_Toc248058298"/>
      <w:r>
        <w:rPr>
          <w:rFonts w:hint="eastAsia" w:ascii="宋体" w:hAnsi="宋体" w:eastAsia="宋体"/>
          <w:highlight w:val="none"/>
        </w:rPr>
        <w:t xml:space="preserve">  </w:t>
      </w:r>
    </w:p>
    <w:p w14:paraId="1C6D6577">
      <w:pPr>
        <w:pStyle w:val="5"/>
        <w:spacing w:line="500" w:lineRule="exact"/>
        <w:jc w:val="center"/>
        <w:rPr>
          <w:rFonts w:hint="eastAsia" w:ascii="宋体" w:hAnsi="宋体" w:eastAsia="宋体"/>
          <w:highlight w:val="none"/>
        </w:rPr>
      </w:pPr>
    </w:p>
    <w:p w14:paraId="6DD908DE">
      <w:pPr>
        <w:pStyle w:val="5"/>
        <w:spacing w:line="500" w:lineRule="exact"/>
        <w:jc w:val="center"/>
        <w:rPr>
          <w:rFonts w:hint="eastAsia" w:ascii="宋体" w:hAnsi="宋体" w:eastAsia="宋体"/>
          <w:sz w:val="32"/>
          <w:szCs w:val="32"/>
          <w:highlight w:val="none"/>
        </w:rPr>
      </w:pPr>
      <w:r>
        <w:rPr>
          <w:rFonts w:hint="eastAsia" w:ascii="宋体" w:hAnsi="宋体" w:eastAsia="宋体"/>
          <w:highlight w:val="none"/>
        </w:rPr>
        <w:t xml:space="preserve"> </w:t>
      </w:r>
      <w:r>
        <w:rPr>
          <w:rFonts w:hint="eastAsia" w:ascii="宋体" w:hAnsi="宋体" w:eastAsia="宋体"/>
          <w:sz w:val="32"/>
          <w:szCs w:val="32"/>
          <w:highlight w:val="none"/>
        </w:rPr>
        <w:t>法定代表人授权委托书</w:t>
      </w:r>
      <w:bookmarkEnd w:id="1522"/>
    </w:p>
    <w:p w14:paraId="729FF995">
      <w:pPr>
        <w:spacing w:line="500" w:lineRule="exact"/>
        <w:ind w:left="105" w:leftChars="50" w:firstLine="420" w:firstLineChars="200"/>
        <w:rPr>
          <w:rFonts w:hint="eastAsia" w:ascii="宋体" w:hAnsi="宋体"/>
          <w:highlight w:val="none"/>
        </w:rPr>
      </w:pPr>
    </w:p>
    <w:p w14:paraId="30C602D2">
      <w:pPr>
        <w:spacing w:line="500" w:lineRule="exact"/>
        <w:ind w:left="105" w:leftChars="50" w:firstLine="420" w:firstLineChars="200"/>
        <w:rPr>
          <w:rFonts w:hint="eastAsia" w:ascii="宋体" w:hAnsi="宋体"/>
          <w:highlight w:val="none"/>
        </w:rPr>
      </w:pPr>
      <w:r>
        <w:rPr>
          <w:rFonts w:hint="eastAsia" w:ascii="宋体" w:hAnsi="宋体"/>
          <w:highlight w:val="none"/>
        </w:rPr>
        <w:t>本人</w:t>
      </w:r>
      <w:r>
        <w:rPr>
          <w:rFonts w:hint="eastAsia" w:ascii="宋体" w:hAnsi="宋体"/>
          <w:highlight w:val="none"/>
          <w:u w:val="single"/>
        </w:rPr>
        <w:t xml:space="preserve">     </w:t>
      </w:r>
      <w:r>
        <w:rPr>
          <w:rFonts w:hint="eastAsia" w:ascii="宋体" w:hAnsi="宋体"/>
          <w:highlight w:val="none"/>
        </w:rPr>
        <w:t>（姓名）系</w:t>
      </w:r>
      <w:r>
        <w:rPr>
          <w:rFonts w:hint="eastAsia" w:ascii="宋体" w:hAnsi="宋体"/>
          <w:highlight w:val="none"/>
          <w:u w:val="single"/>
        </w:rPr>
        <w:t xml:space="preserve">              </w:t>
      </w:r>
      <w:r>
        <w:rPr>
          <w:rFonts w:hint="eastAsia" w:ascii="宋体" w:hAnsi="宋体"/>
          <w:highlight w:val="none"/>
        </w:rPr>
        <w:t>（竞争性比选单位名称）的法定代表人，现委托</w:t>
      </w:r>
      <w:r>
        <w:rPr>
          <w:rFonts w:hint="eastAsia" w:ascii="宋体" w:hAnsi="宋体"/>
          <w:highlight w:val="none"/>
          <w:u w:val="single"/>
        </w:rPr>
        <w:t xml:space="preserve">             </w:t>
      </w:r>
      <w:r>
        <w:rPr>
          <w:rFonts w:hint="eastAsia" w:ascii="宋体" w:hAnsi="宋体"/>
          <w:highlight w:val="none"/>
        </w:rPr>
        <w:t>（姓名）为我方代理人。代理人根据授权，以我方名义签署、澄清、说明、补正、递交、撤回、修改</w:t>
      </w:r>
      <w:r>
        <w:rPr>
          <w:rFonts w:hint="eastAsia" w:ascii="宋体" w:hAnsi="宋体"/>
          <w:highlight w:val="none"/>
          <w:u w:val="single"/>
          <w:lang w:eastAsia="zh-CN"/>
        </w:rPr>
        <w:t>重庆市医药卫生学校附属医院广场路面维修改造项目</w:t>
      </w:r>
      <w:r>
        <w:rPr>
          <w:rFonts w:hint="eastAsia" w:ascii="宋体" w:hAnsi="宋体"/>
          <w:highlight w:val="none"/>
        </w:rPr>
        <w:t xml:space="preserve">（项目名称）施工投标文件、签订合同和处理有关事宜，其法律后果由我方承担。 </w:t>
      </w:r>
    </w:p>
    <w:p w14:paraId="01507D9B">
      <w:pPr>
        <w:spacing w:line="500" w:lineRule="exact"/>
        <w:ind w:firstLine="525" w:firstLineChars="250"/>
        <w:rPr>
          <w:rFonts w:hint="eastAsia" w:ascii="宋体" w:hAnsi="宋体"/>
          <w:highlight w:val="none"/>
        </w:rPr>
      </w:pPr>
      <w:r>
        <w:rPr>
          <w:rFonts w:hint="eastAsia" w:ascii="宋体" w:hAnsi="宋体"/>
          <w:highlight w:val="none"/>
        </w:rPr>
        <w:t>委托期限：</w:t>
      </w:r>
      <w:r>
        <w:rPr>
          <w:rFonts w:hint="eastAsia" w:ascii="宋体" w:hAnsi="宋体"/>
          <w:highlight w:val="none"/>
          <w:u w:val="single"/>
        </w:rPr>
        <w:t xml:space="preserve">                         </w:t>
      </w:r>
      <w:r>
        <w:rPr>
          <w:rFonts w:hint="eastAsia" w:ascii="宋体" w:hAnsi="宋体"/>
          <w:highlight w:val="none"/>
        </w:rPr>
        <w:t xml:space="preserve">。代理人无转委托权。 </w:t>
      </w:r>
    </w:p>
    <w:p w14:paraId="19F3AD41">
      <w:pPr>
        <w:spacing w:line="500" w:lineRule="exact"/>
        <w:ind w:firstLine="525" w:firstLineChars="250"/>
        <w:rPr>
          <w:rFonts w:hint="eastAsia" w:ascii="宋体" w:hAnsi="宋体"/>
          <w:highlight w:val="none"/>
        </w:rPr>
      </w:pPr>
      <w:r>
        <w:rPr>
          <w:rFonts w:hint="eastAsia" w:ascii="宋体" w:hAnsi="宋体"/>
          <w:highlight w:val="none"/>
        </w:rPr>
        <w:t xml:space="preserve">附：法定代表人身份证明。 </w:t>
      </w:r>
    </w:p>
    <w:p w14:paraId="5BB77874">
      <w:pPr>
        <w:spacing w:line="500" w:lineRule="exact"/>
        <w:rPr>
          <w:rFonts w:hint="eastAsia" w:ascii="宋体" w:hAnsi="宋体"/>
          <w:highlight w:val="none"/>
        </w:rPr>
      </w:pPr>
    </w:p>
    <w:p w14:paraId="3BF1AEDE">
      <w:pPr>
        <w:spacing w:line="500" w:lineRule="exact"/>
        <w:rPr>
          <w:rFonts w:hint="eastAsia" w:ascii="宋体" w:hAnsi="宋体"/>
          <w:highlight w:val="none"/>
        </w:rPr>
      </w:pPr>
    </w:p>
    <w:p w14:paraId="62658DCE">
      <w:pPr>
        <w:spacing w:line="500" w:lineRule="exact"/>
        <w:rPr>
          <w:rFonts w:hint="eastAsia" w:ascii="宋体" w:hAnsi="宋体"/>
          <w:highlight w:val="none"/>
        </w:rPr>
      </w:pPr>
    </w:p>
    <w:p w14:paraId="292C2FEA">
      <w:pPr>
        <w:spacing w:line="500" w:lineRule="exact"/>
        <w:rPr>
          <w:rFonts w:hint="eastAsia" w:ascii="宋体" w:hAnsi="宋体"/>
          <w:highlight w:val="none"/>
        </w:rPr>
      </w:pPr>
      <w:r>
        <w:rPr>
          <w:rFonts w:hint="eastAsia" w:ascii="宋体" w:hAnsi="宋体"/>
          <w:spacing w:val="-8"/>
          <w:sz w:val="18"/>
          <w:szCs w:val="18"/>
          <w:highlight w:val="none"/>
        </w:rPr>
        <w:t>（附法定代表人第二代身份证复印件，正、反面均须复印）    （附代理人第二代身份证复印件，正、反面均须复印）</w:t>
      </w:r>
    </w:p>
    <w:p w14:paraId="0CFCBB03">
      <w:pPr>
        <w:spacing w:line="500" w:lineRule="exact"/>
        <w:rPr>
          <w:rFonts w:hint="eastAsia" w:ascii="宋体" w:hAnsi="宋体"/>
          <w:highlight w:val="none"/>
        </w:rPr>
      </w:pPr>
    </w:p>
    <w:p w14:paraId="345AC787">
      <w:pPr>
        <w:spacing w:line="500" w:lineRule="exact"/>
        <w:rPr>
          <w:rFonts w:hint="eastAsia" w:ascii="宋体" w:hAnsi="宋体"/>
          <w:highlight w:val="none"/>
        </w:rPr>
      </w:pPr>
    </w:p>
    <w:p w14:paraId="74E0C5B4">
      <w:pPr>
        <w:spacing w:line="500" w:lineRule="exact"/>
        <w:rPr>
          <w:rFonts w:hint="eastAsia" w:ascii="宋体" w:hAnsi="宋体"/>
          <w:highlight w:val="none"/>
        </w:rPr>
      </w:pPr>
    </w:p>
    <w:p w14:paraId="10537D69">
      <w:pPr>
        <w:spacing w:line="500" w:lineRule="exact"/>
        <w:rPr>
          <w:rFonts w:hint="eastAsia" w:ascii="宋体" w:hAnsi="宋体"/>
          <w:highlight w:val="none"/>
        </w:rPr>
      </w:pPr>
    </w:p>
    <w:p w14:paraId="1324B3A4">
      <w:pPr>
        <w:spacing w:line="500" w:lineRule="exact"/>
        <w:ind w:right="420" w:firstLine="1785" w:firstLineChars="850"/>
        <w:rPr>
          <w:rFonts w:hint="eastAsia" w:ascii="宋体" w:hAnsi="宋体"/>
          <w:highlight w:val="none"/>
        </w:rPr>
      </w:pPr>
      <w:r>
        <w:rPr>
          <w:rFonts w:hint="eastAsia" w:ascii="宋体" w:hAnsi="宋体"/>
          <w:highlight w:val="none"/>
        </w:rPr>
        <w:t xml:space="preserve">竞争性比选单位： </w:t>
      </w:r>
      <w:r>
        <w:rPr>
          <w:rFonts w:hint="eastAsia" w:ascii="宋体" w:hAnsi="宋体"/>
          <w:highlight w:val="none"/>
          <w:u w:val="single"/>
        </w:rPr>
        <w:t xml:space="preserve">                            </w:t>
      </w:r>
      <w:r>
        <w:rPr>
          <w:rFonts w:hint="eastAsia" w:ascii="宋体" w:hAnsi="宋体"/>
          <w:highlight w:val="none"/>
        </w:rPr>
        <w:t>（盖单位公章）</w:t>
      </w:r>
    </w:p>
    <w:p w14:paraId="23CFA6E9">
      <w:pPr>
        <w:spacing w:line="500" w:lineRule="exact"/>
        <w:ind w:right="420" w:firstLine="1785" w:firstLineChars="850"/>
        <w:rPr>
          <w:rFonts w:hint="eastAsia" w:ascii="宋体" w:hAnsi="宋体"/>
          <w:highlight w:val="none"/>
        </w:rPr>
      </w:pPr>
      <w:r>
        <w:rPr>
          <w:rFonts w:hint="eastAsia" w:ascii="宋体" w:hAnsi="宋体"/>
          <w:highlight w:val="none"/>
        </w:rPr>
        <w:t xml:space="preserve">法 定 代 表 人： </w:t>
      </w:r>
      <w:r>
        <w:rPr>
          <w:rFonts w:hint="eastAsia" w:ascii="宋体" w:hAnsi="宋体"/>
          <w:highlight w:val="none"/>
          <w:u w:val="single"/>
        </w:rPr>
        <w:t xml:space="preserve">                            </w:t>
      </w:r>
      <w:r>
        <w:rPr>
          <w:rFonts w:hint="eastAsia" w:ascii="宋体" w:hAnsi="宋体"/>
          <w:highlight w:val="none"/>
        </w:rPr>
        <w:t xml:space="preserve">（签字或盖章） </w:t>
      </w:r>
    </w:p>
    <w:p w14:paraId="3E797DE8">
      <w:pPr>
        <w:spacing w:line="500" w:lineRule="exact"/>
        <w:ind w:right="420" w:firstLine="1785" w:firstLineChars="850"/>
        <w:rPr>
          <w:rFonts w:hint="eastAsia" w:ascii="宋体" w:hAnsi="宋体"/>
          <w:highlight w:val="none"/>
          <w:u w:val="single"/>
        </w:rPr>
      </w:pPr>
      <w:r>
        <w:rPr>
          <w:rFonts w:hint="eastAsia" w:ascii="宋体" w:hAnsi="宋体"/>
          <w:highlight w:val="none"/>
        </w:rPr>
        <w:t xml:space="preserve">身 份 证 号 码： </w:t>
      </w:r>
      <w:r>
        <w:rPr>
          <w:rFonts w:hint="eastAsia" w:ascii="宋体" w:hAnsi="宋体"/>
          <w:highlight w:val="none"/>
          <w:u w:val="single"/>
        </w:rPr>
        <w:t xml:space="preserve">                             </w:t>
      </w:r>
    </w:p>
    <w:p w14:paraId="108CE00D">
      <w:pPr>
        <w:spacing w:line="500" w:lineRule="exact"/>
        <w:ind w:right="420" w:firstLine="1785" w:firstLineChars="850"/>
        <w:rPr>
          <w:rFonts w:hint="eastAsia" w:ascii="宋体" w:hAnsi="宋体"/>
          <w:highlight w:val="none"/>
        </w:rPr>
      </w:pPr>
    </w:p>
    <w:p w14:paraId="4C25B3D6">
      <w:pPr>
        <w:spacing w:line="500" w:lineRule="exact"/>
        <w:ind w:right="420" w:firstLine="1785" w:firstLineChars="850"/>
        <w:rPr>
          <w:rFonts w:hint="eastAsia" w:ascii="宋体" w:hAnsi="宋体"/>
          <w:highlight w:val="none"/>
        </w:rPr>
      </w:pPr>
      <w:r>
        <w:rPr>
          <w:rFonts w:hint="eastAsia" w:ascii="宋体" w:hAnsi="宋体"/>
          <w:highlight w:val="none"/>
        </w:rPr>
        <w:t xml:space="preserve">委 托 代 理 人： </w:t>
      </w:r>
      <w:r>
        <w:rPr>
          <w:rFonts w:hint="eastAsia" w:ascii="宋体" w:hAnsi="宋体"/>
          <w:highlight w:val="none"/>
          <w:u w:val="single"/>
        </w:rPr>
        <w:t xml:space="preserve">                             </w:t>
      </w:r>
      <w:r>
        <w:rPr>
          <w:rFonts w:hint="eastAsia" w:ascii="宋体" w:hAnsi="宋体"/>
          <w:highlight w:val="none"/>
        </w:rPr>
        <w:t xml:space="preserve">（签字） </w:t>
      </w:r>
    </w:p>
    <w:p w14:paraId="35FFB168">
      <w:pPr>
        <w:spacing w:line="500" w:lineRule="exact"/>
        <w:ind w:right="420" w:firstLine="1785" w:firstLineChars="850"/>
        <w:rPr>
          <w:rFonts w:hint="eastAsia" w:ascii="宋体" w:hAnsi="宋体"/>
          <w:highlight w:val="none"/>
          <w:u w:val="single"/>
        </w:rPr>
      </w:pPr>
      <w:r>
        <w:rPr>
          <w:rFonts w:hint="eastAsia" w:ascii="宋体" w:hAnsi="宋体"/>
          <w:highlight w:val="none"/>
        </w:rPr>
        <w:t xml:space="preserve">身 份 证 号 码： </w:t>
      </w:r>
      <w:r>
        <w:rPr>
          <w:rFonts w:hint="eastAsia" w:ascii="宋体" w:hAnsi="宋体"/>
          <w:highlight w:val="none"/>
          <w:u w:val="single"/>
        </w:rPr>
        <w:t xml:space="preserve">                             </w:t>
      </w:r>
    </w:p>
    <w:p w14:paraId="31AA2EED">
      <w:pPr>
        <w:spacing w:line="500" w:lineRule="exact"/>
        <w:ind w:firstLine="5250" w:firstLineChars="2500"/>
        <w:rPr>
          <w:rFonts w:hint="eastAsia" w:ascii="宋体" w:hAnsi="宋体"/>
          <w:highlight w:val="none"/>
        </w:rPr>
      </w:pPr>
      <w:r>
        <w:rPr>
          <w:rFonts w:hint="eastAsia" w:ascii="宋体" w:hAnsi="宋体"/>
          <w:highlight w:val="none"/>
          <w:u w:val="single"/>
        </w:rPr>
        <w:t xml:space="preserve">         </w:t>
      </w:r>
      <w:r>
        <w:rPr>
          <w:rFonts w:hint="eastAsia" w:ascii="宋体" w:hAnsi="宋体"/>
          <w:highlight w:val="none"/>
        </w:rPr>
        <w:t>年</w:t>
      </w:r>
      <w:r>
        <w:rPr>
          <w:rFonts w:hint="eastAsia" w:ascii="宋体" w:hAnsi="宋体"/>
          <w:highlight w:val="none"/>
          <w:u w:val="single"/>
        </w:rPr>
        <w:t xml:space="preserve">      </w:t>
      </w:r>
      <w:r>
        <w:rPr>
          <w:rFonts w:hint="eastAsia" w:ascii="宋体" w:hAnsi="宋体"/>
          <w:highlight w:val="none"/>
        </w:rPr>
        <w:t>月</w:t>
      </w:r>
      <w:r>
        <w:rPr>
          <w:rFonts w:hint="eastAsia" w:ascii="宋体" w:hAnsi="宋体"/>
          <w:highlight w:val="none"/>
          <w:u w:val="single"/>
        </w:rPr>
        <w:t xml:space="preserve">      </w:t>
      </w:r>
      <w:r>
        <w:rPr>
          <w:rFonts w:hint="eastAsia" w:ascii="宋体" w:hAnsi="宋体"/>
          <w:highlight w:val="none"/>
        </w:rPr>
        <w:t xml:space="preserve">日 </w:t>
      </w:r>
    </w:p>
    <w:p w14:paraId="6BD99053">
      <w:pPr>
        <w:tabs>
          <w:tab w:val="left" w:pos="5760"/>
        </w:tabs>
        <w:autoSpaceDE w:val="0"/>
        <w:autoSpaceDN w:val="0"/>
        <w:adjustRightInd w:val="0"/>
        <w:spacing w:line="500" w:lineRule="exact"/>
        <w:ind w:left="780" w:leftChars="253" w:right="11" w:hanging="249" w:hangingChars="138"/>
        <w:rPr>
          <w:rFonts w:hint="eastAsia" w:ascii="宋体" w:hAnsi="宋体"/>
          <w:b/>
          <w:sz w:val="18"/>
          <w:szCs w:val="18"/>
          <w:highlight w:val="none"/>
        </w:rPr>
      </w:pPr>
    </w:p>
    <w:p w14:paraId="6310E55D">
      <w:pPr>
        <w:spacing w:line="500" w:lineRule="exact"/>
        <w:ind w:left="1" w:firstLine="354" w:firstLineChars="196"/>
        <w:rPr>
          <w:rFonts w:hint="eastAsia" w:ascii="宋体" w:hAnsi="宋体"/>
          <w:sz w:val="18"/>
          <w:szCs w:val="18"/>
          <w:highlight w:val="none"/>
        </w:rPr>
      </w:pPr>
      <w:r>
        <w:rPr>
          <w:rFonts w:hint="eastAsia" w:ascii="宋体" w:hAnsi="宋体"/>
          <w:b/>
          <w:sz w:val="18"/>
          <w:szCs w:val="18"/>
          <w:highlight w:val="none"/>
        </w:rPr>
        <w:t xml:space="preserve">注： </w:t>
      </w:r>
      <w:r>
        <w:rPr>
          <w:rFonts w:hint="eastAsia" w:ascii="宋体" w:hAnsi="宋体"/>
          <w:sz w:val="18"/>
          <w:szCs w:val="18"/>
          <w:highlight w:val="none"/>
        </w:rPr>
        <w:t xml:space="preserve">法定代表人参加投标活动并签署文件的不需要授权委托书，只需提供法定代表人身份证明；非法定代表人参加投标活动及签署文件的除提供法定代表人身份证明外还须提供授权委托书。 </w:t>
      </w:r>
    </w:p>
    <w:p w14:paraId="080BBA38">
      <w:pPr>
        <w:spacing w:line="500" w:lineRule="exact"/>
        <w:jc w:val="center"/>
        <w:rPr>
          <w:rFonts w:hint="eastAsia" w:ascii="宋体" w:hAnsi="宋体"/>
          <w:b/>
          <w:bCs/>
          <w:sz w:val="32"/>
          <w:szCs w:val="32"/>
          <w:highlight w:val="none"/>
        </w:rPr>
      </w:pPr>
      <w:bookmarkStart w:id="1523" w:name="_Toc248058299"/>
      <w:r>
        <w:rPr>
          <w:rFonts w:hint="eastAsia" w:ascii="宋体" w:hAnsi="宋体"/>
          <w:b/>
          <w:bCs/>
          <w:sz w:val="32"/>
          <w:szCs w:val="32"/>
          <w:highlight w:val="none"/>
        </w:rPr>
        <w:t>（三）比选文件确认书</w:t>
      </w:r>
    </w:p>
    <w:p w14:paraId="0C940767">
      <w:pPr>
        <w:spacing w:line="500" w:lineRule="exact"/>
        <w:jc w:val="center"/>
        <w:rPr>
          <w:rFonts w:hint="eastAsia" w:ascii="宋体" w:hAnsi="宋体"/>
          <w:b/>
          <w:bCs/>
          <w:sz w:val="28"/>
          <w:szCs w:val="28"/>
          <w:highlight w:val="none"/>
        </w:rPr>
      </w:pPr>
    </w:p>
    <w:p w14:paraId="70E8A373">
      <w:pPr>
        <w:spacing w:line="500" w:lineRule="exact"/>
        <w:rPr>
          <w:rFonts w:hint="eastAsia" w:ascii="宋体" w:hAnsi="宋体"/>
          <w:szCs w:val="21"/>
          <w:highlight w:val="none"/>
        </w:rPr>
      </w:pPr>
      <w:r>
        <w:rPr>
          <w:rFonts w:hint="eastAsia" w:ascii="宋体" w:hAnsi="宋体"/>
          <w:szCs w:val="21"/>
          <w:highlight w:val="none"/>
          <w:lang w:eastAsia="zh-CN"/>
        </w:rPr>
        <w:t>重庆市医药卫生学校</w:t>
      </w:r>
      <w:r>
        <w:rPr>
          <w:rFonts w:hint="eastAsia" w:ascii="宋体" w:hAnsi="宋体"/>
          <w:bCs/>
          <w:szCs w:val="21"/>
          <w:highlight w:val="none"/>
        </w:rPr>
        <w:t>：</w:t>
      </w:r>
    </w:p>
    <w:p w14:paraId="39341536">
      <w:pPr>
        <w:tabs>
          <w:tab w:val="left" w:pos="3600"/>
          <w:tab w:val="left" w:pos="4480"/>
          <w:tab w:val="left" w:pos="5360"/>
        </w:tabs>
        <w:autoSpaceDE w:val="0"/>
        <w:autoSpaceDN w:val="0"/>
        <w:adjustRightInd w:val="0"/>
        <w:snapToGrid w:val="0"/>
        <w:spacing w:line="500" w:lineRule="exact"/>
        <w:rPr>
          <w:rFonts w:hint="eastAsia" w:ascii="宋体" w:hAnsi="宋体" w:cs="MingLiU"/>
          <w:kern w:val="0"/>
          <w:szCs w:val="21"/>
          <w:highlight w:val="none"/>
        </w:rPr>
      </w:pPr>
      <w:r>
        <w:rPr>
          <w:rFonts w:hint="eastAsia" w:ascii="宋体" w:hAnsi="宋体"/>
          <w:szCs w:val="21"/>
          <w:highlight w:val="none"/>
        </w:rPr>
        <w:t xml:space="preserve">     </w:t>
      </w:r>
      <w:r>
        <w:rPr>
          <w:rFonts w:hint="eastAsia" w:ascii="宋体" w:hAnsi="宋体"/>
          <w:spacing w:val="-4"/>
          <w:szCs w:val="21"/>
          <w:highlight w:val="none"/>
        </w:rPr>
        <w:t>我单位参加</w:t>
      </w:r>
      <w:r>
        <w:rPr>
          <w:rFonts w:hint="eastAsia" w:ascii="宋体" w:hAnsi="宋体"/>
          <w:szCs w:val="21"/>
          <w:highlight w:val="none"/>
          <w:u w:val="single"/>
          <w:lang w:eastAsia="zh-CN"/>
        </w:rPr>
        <w:t>重庆市医药卫生学校附属医院广场路面维修改造项目</w:t>
      </w:r>
      <w:r>
        <w:rPr>
          <w:rFonts w:hint="eastAsia" w:ascii="宋体" w:hAnsi="宋体"/>
          <w:spacing w:val="-4"/>
          <w:szCs w:val="21"/>
          <w:highlight w:val="none"/>
        </w:rPr>
        <w:t>的投标，对贵单位发出的该工程比选文件及其约定的时间、相应的补遗资料、书面通知等全部内容予以确认，并按其要求提交投标文件。我公司保证本工程中标后绝不转包给挂靠公司，一旦建设单位发现、查实我公司有转包挂靠行为，我公司甘愿承担违约责任或违约金。</w:t>
      </w:r>
    </w:p>
    <w:p w14:paraId="0F0D2F8F">
      <w:pPr>
        <w:tabs>
          <w:tab w:val="left" w:pos="3600"/>
          <w:tab w:val="left" w:pos="4480"/>
          <w:tab w:val="left" w:pos="5360"/>
        </w:tabs>
        <w:autoSpaceDE w:val="0"/>
        <w:autoSpaceDN w:val="0"/>
        <w:adjustRightInd w:val="0"/>
        <w:snapToGrid w:val="0"/>
        <w:spacing w:line="500" w:lineRule="exact"/>
        <w:rPr>
          <w:rFonts w:hint="eastAsia" w:ascii="宋体" w:hAnsi="宋体" w:cs="MingLiU"/>
          <w:b/>
          <w:kern w:val="0"/>
          <w:sz w:val="24"/>
          <w:highlight w:val="none"/>
        </w:rPr>
      </w:pPr>
    </w:p>
    <w:p w14:paraId="1ED64209">
      <w:pPr>
        <w:spacing w:line="500" w:lineRule="exact"/>
        <w:ind w:firstLine="420" w:firstLineChars="200"/>
        <w:rPr>
          <w:rFonts w:hint="eastAsia" w:ascii="宋体" w:hAnsi="宋体"/>
          <w:bCs/>
          <w:szCs w:val="21"/>
          <w:highlight w:val="none"/>
        </w:rPr>
      </w:pPr>
    </w:p>
    <w:p w14:paraId="5EAD3447">
      <w:pPr>
        <w:spacing w:line="500" w:lineRule="exact"/>
        <w:rPr>
          <w:rFonts w:hint="eastAsia" w:ascii="宋体" w:hAnsi="宋体"/>
          <w:szCs w:val="21"/>
          <w:highlight w:val="none"/>
        </w:rPr>
      </w:pPr>
    </w:p>
    <w:p w14:paraId="274E49BB">
      <w:pPr>
        <w:spacing w:line="500" w:lineRule="exact"/>
        <w:rPr>
          <w:rFonts w:hint="eastAsia" w:ascii="宋体" w:hAnsi="宋体"/>
          <w:szCs w:val="21"/>
          <w:highlight w:val="none"/>
        </w:rPr>
      </w:pPr>
    </w:p>
    <w:p w14:paraId="4E06D205">
      <w:pPr>
        <w:spacing w:line="500" w:lineRule="exact"/>
        <w:rPr>
          <w:rFonts w:hint="eastAsia" w:ascii="宋体" w:hAnsi="宋体"/>
          <w:szCs w:val="21"/>
          <w:highlight w:val="none"/>
        </w:rPr>
      </w:pPr>
    </w:p>
    <w:p w14:paraId="75748E4E">
      <w:pPr>
        <w:spacing w:line="500" w:lineRule="exact"/>
        <w:rPr>
          <w:rFonts w:hint="eastAsia" w:ascii="宋体" w:hAnsi="宋体"/>
          <w:szCs w:val="21"/>
          <w:highlight w:val="none"/>
          <w:u w:val="single"/>
        </w:rPr>
      </w:pPr>
      <w:r>
        <w:rPr>
          <w:rFonts w:hint="eastAsia" w:ascii="宋体" w:hAnsi="宋体"/>
          <w:szCs w:val="21"/>
          <w:highlight w:val="none"/>
        </w:rPr>
        <w:t xml:space="preserve">                             竞争性比选单位：</w:t>
      </w:r>
      <w:r>
        <w:rPr>
          <w:rFonts w:hint="eastAsia" w:ascii="宋体" w:hAnsi="宋体"/>
          <w:szCs w:val="21"/>
          <w:highlight w:val="none"/>
          <w:u w:val="single"/>
        </w:rPr>
        <w:t xml:space="preserve">                    </w:t>
      </w:r>
      <w:r>
        <w:rPr>
          <w:rFonts w:hint="eastAsia" w:ascii="宋体" w:hAnsi="宋体"/>
          <w:szCs w:val="21"/>
          <w:highlight w:val="none"/>
        </w:rPr>
        <w:t>（盖单位公章）</w:t>
      </w:r>
    </w:p>
    <w:p w14:paraId="23A32A88">
      <w:pPr>
        <w:spacing w:line="500" w:lineRule="exact"/>
        <w:rPr>
          <w:rFonts w:hint="eastAsia" w:ascii="宋体" w:hAnsi="宋体"/>
          <w:szCs w:val="21"/>
          <w:highlight w:val="none"/>
          <w:u w:val="single"/>
        </w:rPr>
      </w:pPr>
      <w:r>
        <w:rPr>
          <w:rFonts w:hint="eastAsia" w:ascii="宋体" w:hAnsi="宋体"/>
          <w:szCs w:val="21"/>
          <w:highlight w:val="none"/>
        </w:rPr>
        <w:t xml:space="preserve">                             法定代表人或委托代理人：</w:t>
      </w:r>
      <w:r>
        <w:rPr>
          <w:rFonts w:hint="eastAsia" w:ascii="宋体" w:hAnsi="宋体"/>
          <w:szCs w:val="21"/>
          <w:highlight w:val="none"/>
          <w:u w:val="single"/>
        </w:rPr>
        <w:t xml:space="preserve">                    </w:t>
      </w:r>
      <w:r>
        <w:rPr>
          <w:rFonts w:hint="eastAsia" w:ascii="宋体" w:hAnsi="宋体"/>
          <w:szCs w:val="21"/>
          <w:highlight w:val="none"/>
        </w:rPr>
        <w:t>（签字或盖章）</w:t>
      </w:r>
    </w:p>
    <w:p w14:paraId="43D06207">
      <w:pPr>
        <w:pStyle w:val="2"/>
        <w:snapToGrid w:val="0"/>
        <w:spacing w:line="500" w:lineRule="exact"/>
        <w:ind w:firstLine="640"/>
        <w:rPr>
          <w:rFonts w:hint="eastAsia" w:ascii="宋体" w:hAnsi="宋体"/>
          <w:sz w:val="21"/>
          <w:szCs w:val="21"/>
          <w:highlight w:val="none"/>
        </w:rPr>
      </w:pPr>
      <w:r>
        <w:rPr>
          <w:rFonts w:hint="eastAsia" w:ascii="宋体" w:hAnsi="宋体"/>
          <w:sz w:val="21"/>
          <w:szCs w:val="21"/>
          <w:highlight w:val="none"/>
        </w:rPr>
        <w:t xml:space="preserve">                                      年  月    日</w:t>
      </w:r>
    </w:p>
    <w:p w14:paraId="7D9A302D">
      <w:pPr>
        <w:spacing w:line="500" w:lineRule="exact"/>
        <w:jc w:val="center"/>
        <w:rPr>
          <w:rFonts w:hint="eastAsia" w:ascii="宋体" w:hAnsi="宋体"/>
          <w:b/>
          <w:sz w:val="28"/>
          <w:szCs w:val="28"/>
          <w:highlight w:val="none"/>
        </w:rPr>
      </w:pPr>
    </w:p>
    <w:p w14:paraId="1AA5343F">
      <w:pPr>
        <w:spacing w:line="500" w:lineRule="exact"/>
        <w:jc w:val="center"/>
        <w:rPr>
          <w:rFonts w:hint="eastAsia" w:ascii="宋体" w:hAnsi="宋体"/>
          <w:b/>
          <w:sz w:val="28"/>
          <w:szCs w:val="28"/>
          <w:highlight w:val="none"/>
        </w:rPr>
      </w:pPr>
    </w:p>
    <w:p w14:paraId="6C541F65">
      <w:pPr>
        <w:spacing w:line="500" w:lineRule="exact"/>
        <w:jc w:val="center"/>
        <w:rPr>
          <w:rFonts w:hint="eastAsia" w:ascii="宋体" w:hAnsi="宋体"/>
          <w:b/>
          <w:sz w:val="28"/>
          <w:szCs w:val="28"/>
          <w:highlight w:val="none"/>
        </w:rPr>
      </w:pPr>
    </w:p>
    <w:p w14:paraId="184F4E1B">
      <w:pPr>
        <w:spacing w:line="500" w:lineRule="exact"/>
        <w:jc w:val="center"/>
        <w:rPr>
          <w:rFonts w:hint="eastAsia" w:ascii="宋体" w:hAnsi="宋体"/>
          <w:b/>
          <w:sz w:val="32"/>
          <w:szCs w:val="32"/>
          <w:highlight w:val="none"/>
        </w:rPr>
      </w:pPr>
    </w:p>
    <w:p w14:paraId="4A171BC3">
      <w:pPr>
        <w:spacing w:line="500" w:lineRule="exact"/>
        <w:jc w:val="center"/>
        <w:rPr>
          <w:rFonts w:hint="eastAsia" w:ascii="宋体" w:hAnsi="宋体"/>
          <w:b/>
          <w:sz w:val="32"/>
          <w:szCs w:val="32"/>
          <w:highlight w:val="none"/>
        </w:rPr>
      </w:pPr>
    </w:p>
    <w:p w14:paraId="71CE0AC5">
      <w:pPr>
        <w:spacing w:line="500" w:lineRule="exact"/>
        <w:jc w:val="center"/>
        <w:rPr>
          <w:rFonts w:hint="eastAsia" w:ascii="宋体" w:hAnsi="宋体"/>
          <w:highlight w:val="none"/>
        </w:rPr>
      </w:pPr>
      <w:r>
        <w:rPr>
          <w:rFonts w:ascii="宋体" w:hAnsi="宋体"/>
          <w:highlight w:val="none"/>
        </w:rPr>
        <w:br w:type="page"/>
      </w:r>
    </w:p>
    <w:p w14:paraId="235F8B65">
      <w:pPr>
        <w:spacing w:line="500" w:lineRule="exact"/>
        <w:jc w:val="center"/>
        <w:rPr>
          <w:rFonts w:hint="eastAsia" w:ascii="宋体" w:hAnsi="宋体"/>
          <w:b/>
          <w:bCs/>
          <w:sz w:val="32"/>
          <w:szCs w:val="32"/>
          <w:highlight w:val="none"/>
        </w:rPr>
      </w:pPr>
      <w:r>
        <w:rPr>
          <w:rFonts w:hint="eastAsia" w:ascii="宋体" w:hAnsi="宋体"/>
          <w:b/>
          <w:sz w:val="32"/>
          <w:szCs w:val="32"/>
          <w:highlight w:val="none"/>
        </w:rPr>
        <w:t>（四）最高限价确认书</w:t>
      </w:r>
    </w:p>
    <w:p w14:paraId="3AAC76D1">
      <w:pPr>
        <w:pStyle w:val="17"/>
        <w:tabs>
          <w:tab w:val="left" w:pos="3420"/>
        </w:tabs>
        <w:spacing w:line="500" w:lineRule="exact"/>
        <w:rPr>
          <w:rFonts w:hint="eastAsia" w:ascii="宋体" w:hAnsi="宋体"/>
          <w:sz w:val="21"/>
          <w:szCs w:val="21"/>
          <w:highlight w:val="none"/>
        </w:rPr>
      </w:pPr>
    </w:p>
    <w:p w14:paraId="69269F29">
      <w:pPr>
        <w:pStyle w:val="17"/>
        <w:tabs>
          <w:tab w:val="left" w:pos="3420"/>
        </w:tabs>
        <w:spacing w:line="500" w:lineRule="exact"/>
        <w:rPr>
          <w:rFonts w:hint="eastAsia" w:ascii="宋体" w:hAnsi="宋体"/>
          <w:sz w:val="21"/>
          <w:szCs w:val="21"/>
          <w:highlight w:val="none"/>
        </w:rPr>
      </w:pPr>
      <w:r>
        <w:rPr>
          <w:rFonts w:hint="eastAsia" w:ascii="宋体" w:hAnsi="宋体"/>
          <w:sz w:val="21"/>
          <w:szCs w:val="21"/>
          <w:highlight w:val="none"/>
          <w:lang w:eastAsia="zh-CN"/>
        </w:rPr>
        <w:t>重庆市医药卫生学校</w:t>
      </w:r>
      <w:r>
        <w:rPr>
          <w:rFonts w:hint="eastAsia" w:ascii="宋体" w:hAnsi="宋体"/>
          <w:sz w:val="21"/>
          <w:szCs w:val="21"/>
          <w:highlight w:val="none"/>
        </w:rPr>
        <w:t>：</w:t>
      </w:r>
    </w:p>
    <w:p w14:paraId="6A2B39D3">
      <w:pPr>
        <w:pStyle w:val="17"/>
        <w:tabs>
          <w:tab w:val="left" w:pos="3420"/>
        </w:tabs>
        <w:spacing w:line="500" w:lineRule="exact"/>
        <w:ind w:firstLine="420" w:firstLineChars="200"/>
        <w:rPr>
          <w:rFonts w:hint="eastAsia" w:ascii="宋体" w:hAnsi="宋体"/>
          <w:sz w:val="21"/>
          <w:szCs w:val="21"/>
          <w:highlight w:val="none"/>
        </w:rPr>
      </w:pPr>
      <w:r>
        <w:rPr>
          <w:rFonts w:hint="eastAsia" w:ascii="宋体" w:hAnsi="宋体"/>
          <w:sz w:val="21"/>
          <w:szCs w:val="21"/>
          <w:highlight w:val="none"/>
        </w:rPr>
        <w:t>对贵单位</w:t>
      </w:r>
      <w:r>
        <w:rPr>
          <w:rFonts w:hint="eastAsia" w:ascii="宋体" w:hAnsi="宋体"/>
          <w:bCs/>
          <w:sz w:val="21"/>
          <w:szCs w:val="21"/>
          <w:highlight w:val="none"/>
        </w:rPr>
        <w:t>拟建的</w:t>
      </w:r>
      <w:r>
        <w:rPr>
          <w:rFonts w:hint="eastAsia" w:ascii="宋体" w:hAnsi="宋体"/>
          <w:sz w:val="21"/>
          <w:szCs w:val="21"/>
          <w:highlight w:val="none"/>
          <w:u w:val="single"/>
          <w:lang w:eastAsia="zh-CN"/>
        </w:rPr>
        <w:t>重庆市医药卫生学校附属医院广场路面维修改造项目</w:t>
      </w:r>
      <w:r>
        <w:rPr>
          <w:rFonts w:hint="eastAsia" w:ascii="宋体" w:hAnsi="宋体"/>
          <w:sz w:val="21"/>
          <w:szCs w:val="21"/>
          <w:highlight w:val="none"/>
          <w:u w:val="single"/>
        </w:rPr>
        <w:t xml:space="preserve"> </w:t>
      </w:r>
      <w:r>
        <w:rPr>
          <w:rFonts w:hint="eastAsia" w:ascii="宋体" w:hAnsi="宋体"/>
          <w:sz w:val="21"/>
          <w:szCs w:val="21"/>
          <w:highlight w:val="none"/>
        </w:rPr>
        <w:t>，我公司进行了现场踏勘及造价分析，并结合我公司现有施工技术和经济承受能力状况，我公司对贵单位在本工程比选范围内的工程最高限价予以确认。</w:t>
      </w:r>
    </w:p>
    <w:p w14:paraId="7405B94B">
      <w:pPr>
        <w:pStyle w:val="17"/>
        <w:tabs>
          <w:tab w:val="left" w:pos="3420"/>
        </w:tabs>
        <w:spacing w:line="500" w:lineRule="exact"/>
        <w:ind w:firstLine="560"/>
        <w:rPr>
          <w:rFonts w:hint="eastAsia" w:ascii="宋体" w:hAnsi="宋体"/>
          <w:sz w:val="21"/>
          <w:szCs w:val="21"/>
          <w:highlight w:val="none"/>
        </w:rPr>
      </w:pPr>
    </w:p>
    <w:p w14:paraId="1E034BEB">
      <w:pPr>
        <w:spacing w:line="500" w:lineRule="exact"/>
        <w:rPr>
          <w:rFonts w:hint="eastAsia" w:ascii="宋体" w:hAnsi="宋体"/>
          <w:szCs w:val="21"/>
          <w:highlight w:val="none"/>
        </w:rPr>
      </w:pPr>
    </w:p>
    <w:p w14:paraId="26D4C8A4">
      <w:pPr>
        <w:spacing w:line="500" w:lineRule="exact"/>
        <w:rPr>
          <w:rFonts w:hint="eastAsia" w:ascii="宋体" w:hAnsi="宋体"/>
          <w:szCs w:val="21"/>
          <w:highlight w:val="none"/>
        </w:rPr>
      </w:pPr>
    </w:p>
    <w:p w14:paraId="4101E74C">
      <w:pPr>
        <w:spacing w:line="500" w:lineRule="exact"/>
        <w:rPr>
          <w:rFonts w:hint="eastAsia" w:ascii="宋体" w:hAnsi="宋体"/>
          <w:szCs w:val="21"/>
          <w:highlight w:val="none"/>
          <w:u w:val="single"/>
        </w:rPr>
      </w:pPr>
      <w:r>
        <w:rPr>
          <w:rFonts w:hint="eastAsia" w:ascii="宋体" w:hAnsi="宋体"/>
          <w:b/>
          <w:bCs/>
          <w:szCs w:val="21"/>
          <w:highlight w:val="none"/>
        </w:rPr>
        <w:t xml:space="preserve">                                      </w:t>
      </w:r>
      <w:r>
        <w:rPr>
          <w:rFonts w:hint="eastAsia" w:ascii="宋体" w:hAnsi="宋体"/>
          <w:szCs w:val="21"/>
          <w:highlight w:val="none"/>
        </w:rPr>
        <w:t xml:space="preserve">   竞争性比选单位：</w:t>
      </w:r>
      <w:r>
        <w:rPr>
          <w:rFonts w:hint="eastAsia" w:ascii="宋体" w:hAnsi="宋体"/>
          <w:szCs w:val="21"/>
          <w:highlight w:val="none"/>
          <w:u w:val="single"/>
        </w:rPr>
        <w:t xml:space="preserve">                    </w:t>
      </w:r>
      <w:r>
        <w:rPr>
          <w:rFonts w:hint="eastAsia" w:ascii="宋体" w:hAnsi="宋体"/>
          <w:szCs w:val="21"/>
          <w:highlight w:val="none"/>
        </w:rPr>
        <w:t>（盖单位公章）</w:t>
      </w:r>
    </w:p>
    <w:p w14:paraId="79734F40">
      <w:pPr>
        <w:spacing w:line="500" w:lineRule="exact"/>
        <w:rPr>
          <w:rFonts w:hint="eastAsia" w:ascii="宋体" w:hAnsi="宋体"/>
          <w:szCs w:val="21"/>
          <w:highlight w:val="none"/>
        </w:rPr>
      </w:pPr>
      <w:r>
        <w:rPr>
          <w:rFonts w:hint="eastAsia" w:ascii="宋体" w:hAnsi="宋体"/>
          <w:szCs w:val="21"/>
          <w:highlight w:val="none"/>
        </w:rPr>
        <w:t xml:space="preserve">     </w:t>
      </w:r>
    </w:p>
    <w:p w14:paraId="36E1281E">
      <w:pPr>
        <w:spacing w:line="500" w:lineRule="exact"/>
        <w:rPr>
          <w:rFonts w:hint="eastAsia" w:ascii="宋体" w:hAnsi="宋体"/>
          <w:szCs w:val="21"/>
          <w:highlight w:val="none"/>
          <w:u w:val="single"/>
        </w:rPr>
      </w:pPr>
      <w:r>
        <w:rPr>
          <w:rFonts w:hint="eastAsia" w:ascii="宋体" w:hAnsi="宋体"/>
          <w:szCs w:val="21"/>
          <w:highlight w:val="none"/>
        </w:rPr>
        <w:t xml:space="preserve">                                         法定代表人或委托代理人：</w:t>
      </w:r>
      <w:r>
        <w:rPr>
          <w:rFonts w:hint="eastAsia" w:ascii="宋体" w:hAnsi="宋体"/>
          <w:szCs w:val="21"/>
          <w:highlight w:val="none"/>
          <w:u w:val="single"/>
        </w:rPr>
        <w:t xml:space="preserve">             </w:t>
      </w:r>
      <w:r>
        <w:rPr>
          <w:rFonts w:hint="eastAsia" w:ascii="宋体" w:hAnsi="宋体"/>
          <w:szCs w:val="21"/>
          <w:highlight w:val="none"/>
        </w:rPr>
        <w:t>（签字或盖章）</w:t>
      </w:r>
    </w:p>
    <w:p w14:paraId="3AC21553">
      <w:pPr>
        <w:pStyle w:val="2"/>
        <w:snapToGrid w:val="0"/>
        <w:spacing w:line="500" w:lineRule="exact"/>
        <w:ind w:firstLine="640"/>
        <w:rPr>
          <w:rFonts w:hint="eastAsia" w:ascii="宋体" w:hAnsi="宋体"/>
          <w:szCs w:val="21"/>
          <w:highlight w:val="none"/>
        </w:rPr>
      </w:pPr>
      <w:r>
        <w:rPr>
          <w:rFonts w:hint="eastAsia" w:ascii="宋体" w:hAnsi="宋体"/>
          <w:szCs w:val="21"/>
          <w:highlight w:val="none"/>
        </w:rPr>
        <w:t xml:space="preserve">                            </w:t>
      </w:r>
    </w:p>
    <w:p w14:paraId="19C73583">
      <w:pPr>
        <w:pStyle w:val="2"/>
        <w:snapToGrid w:val="0"/>
        <w:spacing w:line="500" w:lineRule="exact"/>
        <w:ind w:firstLine="3400" w:firstLineChars="1700"/>
        <w:rPr>
          <w:rFonts w:hint="eastAsia" w:ascii="宋体" w:hAnsi="宋体"/>
          <w:szCs w:val="21"/>
          <w:highlight w:val="none"/>
        </w:rPr>
      </w:pPr>
      <w:r>
        <w:rPr>
          <w:rFonts w:hint="eastAsia" w:ascii="宋体" w:hAnsi="宋体"/>
          <w:szCs w:val="21"/>
          <w:highlight w:val="none"/>
        </w:rPr>
        <w:t xml:space="preserve">     </w:t>
      </w:r>
      <w:r>
        <w:rPr>
          <w:rFonts w:hint="eastAsia" w:ascii="宋体" w:hAnsi="宋体"/>
          <w:szCs w:val="21"/>
          <w:highlight w:val="none"/>
          <w:u w:val="single"/>
        </w:rPr>
        <w:t xml:space="preserve">      </w:t>
      </w:r>
      <w:r>
        <w:rPr>
          <w:rFonts w:hint="eastAsia" w:ascii="宋体" w:hAnsi="宋体"/>
          <w:szCs w:val="21"/>
          <w:highlight w:val="none"/>
        </w:rPr>
        <w:t>年</w:t>
      </w:r>
      <w:r>
        <w:rPr>
          <w:rFonts w:hint="eastAsia" w:ascii="宋体" w:hAnsi="宋体"/>
          <w:szCs w:val="21"/>
          <w:highlight w:val="none"/>
          <w:u w:val="single"/>
        </w:rPr>
        <w:t xml:space="preserve">    </w:t>
      </w:r>
      <w:r>
        <w:rPr>
          <w:rFonts w:hint="eastAsia" w:ascii="宋体" w:hAnsi="宋体"/>
          <w:szCs w:val="21"/>
          <w:highlight w:val="none"/>
        </w:rPr>
        <w:t>月</w:t>
      </w:r>
      <w:r>
        <w:rPr>
          <w:rFonts w:hint="eastAsia" w:ascii="宋体" w:hAnsi="宋体"/>
          <w:szCs w:val="21"/>
          <w:highlight w:val="none"/>
          <w:u w:val="single"/>
        </w:rPr>
        <w:t xml:space="preserve">    </w:t>
      </w:r>
      <w:r>
        <w:rPr>
          <w:rFonts w:hint="eastAsia" w:ascii="宋体" w:hAnsi="宋体"/>
          <w:szCs w:val="21"/>
          <w:highlight w:val="none"/>
        </w:rPr>
        <w:t>日</w:t>
      </w:r>
    </w:p>
    <w:p w14:paraId="264E8B0C">
      <w:pPr>
        <w:tabs>
          <w:tab w:val="left" w:pos="5760"/>
        </w:tabs>
        <w:autoSpaceDE w:val="0"/>
        <w:autoSpaceDN w:val="0"/>
        <w:adjustRightInd w:val="0"/>
        <w:spacing w:line="500" w:lineRule="exact"/>
        <w:ind w:left="838" w:leftChars="199" w:right="11" w:hanging="420" w:hangingChars="150"/>
        <w:rPr>
          <w:rFonts w:hint="eastAsia" w:ascii="宋体" w:hAnsi="宋体"/>
          <w:kern w:val="0"/>
          <w:sz w:val="28"/>
          <w:szCs w:val="28"/>
          <w:highlight w:val="none"/>
        </w:rPr>
      </w:pPr>
    </w:p>
    <w:p w14:paraId="12E180F2">
      <w:pPr>
        <w:tabs>
          <w:tab w:val="left" w:pos="5760"/>
        </w:tabs>
        <w:autoSpaceDE w:val="0"/>
        <w:autoSpaceDN w:val="0"/>
        <w:adjustRightInd w:val="0"/>
        <w:spacing w:line="500" w:lineRule="exact"/>
        <w:ind w:left="838" w:leftChars="199" w:right="11" w:hanging="420" w:hangingChars="150"/>
        <w:rPr>
          <w:rFonts w:hint="eastAsia" w:ascii="宋体" w:hAnsi="宋体"/>
          <w:kern w:val="0"/>
          <w:sz w:val="28"/>
          <w:szCs w:val="28"/>
          <w:highlight w:val="none"/>
        </w:rPr>
      </w:pPr>
    </w:p>
    <w:p w14:paraId="3463F24B">
      <w:pPr>
        <w:pStyle w:val="5"/>
        <w:spacing w:line="500" w:lineRule="exact"/>
        <w:jc w:val="center"/>
        <w:rPr>
          <w:rFonts w:hint="eastAsia" w:ascii="宋体" w:hAnsi="宋体" w:eastAsia="宋体"/>
          <w:sz w:val="32"/>
          <w:szCs w:val="32"/>
          <w:highlight w:val="none"/>
        </w:rPr>
      </w:pPr>
    </w:p>
    <w:bookmarkEnd w:id="1523"/>
    <w:p w14:paraId="1D9CEC23">
      <w:pPr>
        <w:autoSpaceDE w:val="0"/>
        <w:autoSpaceDN w:val="0"/>
        <w:adjustRightInd w:val="0"/>
        <w:spacing w:line="500" w:lineRule="exact"/>
        <w:ind w:right="-20"/>
        <w:jc w:val="center"/>
        <w:rPr>
          <w:rFonts w:hint="eastAsia" w:ascii="宋体" w:hAnsi="宋体" w:cs="MingLiU"/>
          <w:b/>
          <w:kern w:val="0"/>
          <w:sz w:val="24"/>
          <w:highlight w:val="none"/>
        </w:rPr>
      </w:pPr>
    </w:p>
    <w:p w14:paraId="2C7622F7">
      <w:pPr>
        <w:autoSpaceDE w:val="0"/>
        <w:autoSpaceDN w:val="0"/>
        <w:adjustRightInd w:val="0"/>
        <w:spacing w:line="500" w:lineRule="exact"/>
        <w:ind w:right="-20"/>
        <w:jc w:val="center"/>
        <w:rPr>
          <w:rFonts w:hint="eastAsia" w:ascii="宋体" w:hAnsi="宋体" w:cs="MingLiU"/>
          <w:b/>
          <w:kern w:val="0"/>
          <w:sz w:val="24"/>
          <w:highlight w:val="none"/>
        </w:rPr>
      </w:pPr>
    </w:p>
    <w:p w14:paraId="2A740C98">
      <w:pPr>
        <w:spacing w:line="500" w:lineRule="exact"/>
        <w:jc w:val="center"/>
        <w:rPr>
          <w:rFonts w:hint="eastAsia" w:ascii="宋体" w:hAnsi="宋体"/>
          <w:b/>
          <w:sz w:val="28"/>
          <w:highlight w:val="none"/>
        </w:rPr>
      </w:pPr>
    </w:p>
    <w:p w14:paraId="4F84A66E">
      <w:pPr>
        <w:autoSpaceDE w:val="0"/>
        <w:autoSpaceDN w:val="0"/>
        <w:adjustRightInd w:val="0"/>
        <w:snapToGrid w:val="0"/>
        <w:spacing w:line="500" w:lineRule="exact"/>
        <w:ind w:firstLine="562" w:firstLineChars="200"/>
        <w:jc w:val="center"/>
        <w:rPr>
          <w:rFonts w:hint="eastAsia" w:ascii="宋体" w:hAnsi="宋体"/>
          <w:b/>
          <w:sz w:val="32"/>
          <w:szCs w:val="32"/>
          <w:highlight w:val="none"/>
        </w:rPr>
      </w:pPr>
      <w:r>
        <w:rPr>
          <w:rFonts w:ascii="宋体" w:hAnsi="宋体"/>
          <w:b/>
          <w:sz w:val="28"/>
          <w:highlight w:val="none"/>
        </w:rPr>
        <w:br w:type="page"/>
      </w:r>
      <w:r>
        <w:rPr>
          <w:rFonts w:hint="eastAsia" w:ascii="宋体" w:hAnsi="宋体"/>
          <w:b/>
          <w:sz w:val="28"/>
          <w:highlight w:val="none"/>
        </w:rPr>
        <w:t>（五）</w:t>
      </w:r>
      <w:r>
        <w:rPr>
          <w:rFonts w:hint="eastAsia" w:ascii="宋体" w:hAnsi="宋体"/>
          <w:b/>
          <w:sz w:val="32"/>
          <w:szCs w:val="32"/>
          <w:highlight w:val="none"/>
        </w:rPr>
        <w:t>其他资料（资格审查资料）</w:t>
      </w:r>
    </w:p>
    <w:p w14:paraId="2646E4F2">
      <w:pPr>
        <w:autoSpaceDE w:val="0"/>
        <w:autoSpaceDN w:val="0"/>
        <w:adjustRightInd w:val="0"/>
        <w:snapToGrid w:val="0"/>
        <w:spacing w:line="500" w:lineRule="exact"/>
        <w:ind w:firstLine="420" w:firstLineChars="200"/>
        <w:rPr>
          <w:rFonts w:hint="eastAsia" w:ascii="宋体" w:hAnsi="宋体" w:cs="MingLiU"/>
          <w:snapToGrid w:val="0"/>
          <w:kern w:val="0"/>
          <w:szCs w:val="21"/>
          <w:highlight w:val="none"/>
        </w:rPr>
      </w:pPr>
      <w:r>
        <w:rPr>
          <w:rFonts w:hint="eastAsia" w:ascii="宋体" w:hAnsi="宋体"/>
          <w:highlight w:val="none"/>
        </w:rPr>
        <w:t>注：</w:t>
      </w:r>
      <w:r>
        <w:rPr>
          <w:rFonts w:hint="eastAsia" w:ascii="宋体" w:hAnsi="宋体"/>
          <w:kern w:val="0"/>
          <w:highlight w:val="none"/>
        </w:rPr>
        <w:t>附竞争性比选单位有效营业</w:t>
      </w:r>
      <w:r>
        <w:rPr>
          <w:rFonts w:hint="eastAsia" w:ascii="宋体" w:hAnsi="宋体"/>
          <w:spacing w:val="1"/>
          <w:kern w:val="0"/>
          <w:highlight w:val="none"/>
        </w:rPr>
        <w:t>执</w:t>
      </w:r>
      <w:r>
        <w:rPr>
          <w:rFonts w:hint="eastAsia" w:ascii="宋体" w:hAnsi="宋体"/>
          <w:kern w:val="0"/>
          <w:highlight w:val="none"/>
        </w:rPr>
        <w:t>照的复印件。</w:t>
      </w:r>
    </w:p>
    <w:p w14:paraId="1877E4E9">
      <w:pPr>
        <w:autoSpaceDE w:val="0"/>
        <w:autoSpaceDN w:val="0"/>
        <w:adjustRightInd w:val="0"/>
        <w:snapToGrid w:val="0"/>
        <w:spacing w:line="500" w:lineRule="exact"/>
        <w:rPr>
          <w:rFonts w:ascii="宋体" w:hAnsi="宋体" w:cs="MingLiU"/>
          <w:snapToGrid w:val="0"/>
          <w:kern w:val="0"/>
          <w:szCs w:val="21"/>
          <w:highlight w:val="none"/>
        </w:rPr>
      </w:pPr>
      <w:r>
        <w:rPr>
          <w:rFonts w:ascii="宋体" w:hAnsi="宋体" w:cs="MingLiU"/>
          <w:snapToGrid w:val="0"/>
          <w:kern w:val="0"/>
          <w:szCs w:val="21"/>
          <w:highlight w:val="none"/>
        </w:rPr>
        <w:br w:type="page"/>
      </w:r>
    </w:p>
    <w:p w14:paraId="67A46DB7">
      <w:pPr>
        <w:autoSpaceDE w:val="0"/>
        <w:autoSpaceDN w:val="0"/>
        <w:adjustRightInd w:val="0"/>
        <w:snapToGrid w:val="0"/>
        <w:spacing w:line="360" w:lineRule="auto"/>
        <w:ind w:firstLine="643" w:firstLineChars="200"/>
        <w:jc w:val="center"/>
        <w:rPr>
          <w:rFonts w:hint="eastAsia" w:ascii="宋体" w:hAnsi="宋体"/>
          <w:b/>
          <w:sz w:val="32"/>
          <w:szCs w:val="32"/>
          <w:highlight w:val="none"/>
        </w:rPr>
      </w:pPr>
      <w:r>
        <w:rPr>
          <w:rFonts w:hint="eastAsia" w:ascii="宋体" w:hAnsi="宋体"/>
          <w:b/>
          <w:sz w:val="32"/>
          <w:szCs w:val="32"/>
          <w:highlight w:val="none"/>
        </w:rPr>
        <w:t>（六）承诺</w:t>
      </w:r>
    </w:p>
    <w:p w14:paraId="1C8F80A8">
      <w:pPr>
        <w:snapToGrid w:val="0"/>
        <w:spacing w:line="480" w:lineRule="auto"/>
        <w:rPr>
          <w:rFonts w:ascii="宋体" w:hAnsi="宋体"/>
          <w:szCs w:val="21"/>
          <w:highlight w:val="none"/>
          <w:u w:val="single"/>
        </w:rPr>
      </w:pPr>
      <w:r>
        <w:rPr>
          <w:rFonts w:hint="eastAsia" w:ascii="宋体" w:hAnsi="宋体"/>
          <w:szCs w:val="21"/>
          <w:highlight w:val="none"/>
          <w:u w:val="single"/>
        </w:rPr>
        <w:t xml:space="preserve">        （招标人名称）</w:t>
      </w:r>
      <w:r>
        <w:rPr>
          <w:rFonts w:hint="eastAsia" w:ascii="宋体" w:hAnsi="宋体"/>
          <w:szCs w:val="21"/>
          <w:highlight w:val="none"/>
        </w:rPr>
        <w:t>：</w:t>
      </w:r>
    </w:p>
    <w:p w14:paraId="423968DF">
      <w:pPr>
        <w:snapToGrid w:val="0"/>
        <w:spacing w:line="480" w:lineRule="auto"/>
        <w:ind w:firstLine="420" w:firstLineChars="200"/>
        <w:rPr>
          <w:rFonts w:ascii="宋体" w:hAnsi="宋体"/>
          <w:szCs w:val="21"/>
          <w:highlight w:val="none"/>
        </w:rPr>
      </w:pPr>
      <w:r>
        <w:rPr>
          <w:rFonts w:hint="eastAsia" w:ascii="宋体" w:hAnsi="宋体"/>
          <w:szCs w:val="21"/>
          <w:highlight w:val="none"/>
        </w:rPr>
        <w:t>我公司</w:t>
      </w:r>
      <w:r>
        <w:rPr>
          <w:rFonts w:hint="eastAsia" w:ascii="宋体" w:hAnsi="宋体"/>
          <w:szCs w:val="21"/>
          <w:highlight w:val="none"/>
          <w:u w:val="single"/>
        </w:rPr>
        <w:t xml:space="preserve">        （投标人名称）</w:t>
      </w:r>
      <w:r>
        <w:rPr>
          <w:rFonts w:hint="eastAsia" w:ascii="宋体" w:hAnsi="宋体"/>
          <w:szCs w:val="21"/>
          <w:highlight w:val="none"/>
        </w:rPr>
        <w:t>参加了贵单位</w:t>
      </w:r>
      <w:r>
        <w:rPr>
          <w:rFonts w:hint="eastAsia" w:ascii="宋体" w:hAnsi="宋体"/>
          <w:szCs w:val="21"/>
          <w:highlight w:val="none"/>
          <w:u w:val="single"/>
        </w:rPr>
        <w:t xml:space="preserve">        （项目名称）</w:t>
      </w:r>
      <w:r>
        <w:rPr>
          <w:rFonts w:hint="eastAsia" w:ascii="宋体" w:hAnsi="宋体"/>
          <w:szCs w:val="21"/>
          <w:highlight w:val="none"/>
        </w:rPr>
        <w:t>的投标，自愿作出以下承诺：</w:t>
      </w:r>
    </w:p>
    <w:p w14:paraId="646CB5B0">
      <w:pPr>
        <w:snapToGrid w:val="0"/>
        <w:spacing w:line="480" w:lineRule="auto"/>
        <w:ind w:firstLine="420" w:firstLineChars="200"/>
        <w:rPr>
          <w:rFonts w:ascii="宋体" w:hAnsi="宋体"/>
          <w:szCs w:val="21"/>
          <w:highlight w:val="none"/>
        </w:rPr>
      </w:pPr>
      <w:r>
        <w:rPr>
          <w:rFonts w:hint="eastAsia" w:ascii="宋体" w:hAnsi="宋体"/>
          <w:szCs w:val="21"/>
          <w:highlight w:val="none"/>
        </w:rPr>
        <w:t>我公司若中标，在签订合同之前，将按照建设行政主管部门的要求组建施工项目部，配置项目管理班子，出具任命文件。任命文件应当明确施工项目部的职责、岗位设置、人员配备，并书面通知贵单位。相关岗位管理人员应持有建设行政主管部门要求的岗位证书。中标后不能满足该要求的，取消我公司中标资格，给贵单位造成损失的，我公司依法承担违约赔偿责任。</w:t>
      </w:r>
    </w:p>
    <w:p w14:paraId="65A2A17D">
      <w:pPr>
        <w:snapToGrid w:val="0"/>
        <w:spacing w:line="480" w:lineRule="auto"/>
        <w:ind w:firstLine="420" w:firstLineChars="200"/>
        <w:rPr>
          <w:rFonts w:ascii="宋体" w:hAnsi="宋体"/>
          <w:szCs w:val="21"/>
          <w:highlight w:val="none"/>
        </w:rPr>
      </w:pPr>
    </w:p>
    <w:p w14:paraId="7ED83F2F">
      <w:pPr>
        <w:spacing w:line="480" w:lineRule="auto"/>
        <w:ind w:firstLine="4200" w:firstLineChars="2000"/>
        <w:rPr>
          <w:rFonts w:hint="eastAsia" w:ascii="宋体" w:hAnsi="宋体"/>
          <w:szCs w:val="21"/>
          <w:highlight w:val="none"/>
        </w:rPr>
      </w:pPr>
    </w:p>
    <w:p w14:paraId="01C2C01F">
      <w:pPr>
        <w:spacing w:line="500" w:lineRule="exact"/>
        <w:ind w:firstLine="4200" w:firstLineChars="2000"/>
        <w:rPr>
          <w:rFonts w:hint="eastAsia" w:ascii="宋体" w:hAnsi="宋体"/>
          <w:szCs w:val="21"/>
          <w:highlight w:val="none"/>
        </w:rPr>
      </w:pPr>
    </w:p>
    <w:p w14:paraId="54E433A6">
      <w:pPr>
        <w:spacing w:line="500" w:lineRule="exact"/>
        <w:ind w:firstLine="4200" w:firstLineChars="2000"/>
        <w:rPr>
          <w:rFonts w:hint="eastAsia" w:ascii="宋体" w:hAnsi="宋体"/>
          <w:szCs w:val="21"/>
          <w:highlight w:val="none"/>
        </w:rPr>
      </w:pPr>
    </w:p>
    <w:p w14:paraId="4E4E6B07">
      <w:pPr>
        <w:spacing w:line="500" w:lineRule="exact"/>
        <w:ind w:firstLine="4200" w:firstLineChars="2000"/>
        <w:rPr>
          <w:rFonts w:hint="eastAsia" w:ascii="宋体" w:hAnsi="宋体"/>
          <w:szCs w:val="21"/>
          <w:highlight w:val="none"/>
        </w:rPr>
      </w:pPr>
    </w:p>
    <w:p w14:paraId="665FD4E1">
      <w:pPr>
        <w:spacing w:line="500" w:lineRule="exact"/>
        <w:ind w:firstLine="4200" w:firstLineChars="2000"/>
        <w:rPr>
          <w:rFonts w:hint="eastAsia" w:ascii="宋体" w:hAnsi="宋体"/>
          <w:szCs w:val="21"/>
          <w:highlight w:val="none"/>
        </w:rPr>
      </w:pPr>
    </w:p>
    <w:p w14:paraId="27F56F85">
      <w:pPr>
        <w:spacing w:line="500" w:lineRule="exact"/>
        <w:ind w:firstLine="4200" w:firstLineChars="2000"/>
        <w:rPr>
          <w:rFonts w:hint="eastAsia" w:ascii="宋体" w:hAnsi="宋体"/>
          <w:szCs w:val="21"/>
          <w:highlight w:val="none"/>
          <w:u w:val="single"/>
        </w:rPr>
      </w:pPr>
      <w:r>
        <w:rPr>
          <w:rFonts w:hint="eastAsia" w:ascii="宋体" w:hAnsi="宋体"/>
          <w:szCs w:val="21"/>
          <w:highlight w:val="none"/>
        </w:rPr>
        <w:t>竞争性比选单位：</w:t>
      </w:r>
      <w:r>
        <w:rPr>
          <w:rFonts w:hint="eastAsia" w:ascii="宋体" w:hAnsi="宋体"/>
          <w:szCs w:val="21"/>
          <w:highlight w:val="none"/>
          <w:u w:val="single"/>
        </w:rPr>
        <w:t xml:space="preserve">                    </w:t>
      </w:r>
      <w:r>
        <w:rPr>
          <w:rFonts w:hint="eastAsia" w:ascii="宋体" w:hAnsi="宋体"/>
          <w:szCs w:val="21"/>
          <w:highlight w:val="none"/>
        </w:rPr>
        <w:t>（盖单位公章）</w:t>
      </w:r>
    </w:p>
    <w:p w14:paraId="3B1CF342">
      <w:pPr>
        <w:spacing w:line="500" w:lineRule="exact"/>
        <w:rPr>
          <w:rFonts w:hint="eastAsia" w:ascii="宋体" w:hAnsi="宋体"/>
          <w:szCs w:val="21"/>
          <w:highlight w:val="none"/>
        </w:rPr>
      </w:pPr>
      <w:r>
        <w:rPr>
          <w:rFonts w:hint="eastAsia" w:ascii="宋体" w:hAnsi="宋体"/>
          <w:szCs w:val="21"/>
          <w:highlight w:val="none"/>
        </w:rPr>
        <w:t xml:space="preserve">     </w:t>
      </w:r>
    </w:p>
    <w:p w14:paraId="5ADE94E3">
      <w:pPr>
        <w:spacing w:line="500" w:lineRule="exact"/>
        <w:rPr>
          <w:rFonts w:hint="eastAsia" w:ascii="宋体" w:hAnsi="宋体"/>
          <w:szCs w:val="21"/>
          <w:highlight w:val="none"/>
          <w:u w:val="single"/>
        </w:rPr>
      </w:pPr>
      <w:r>
        <w:rPr>
          <w:rFonts w:hint="eastAsia" w:ascii="宋体" w:hAnsi="宋体"/>
          <w:szCs w:val="21"/>
          <w:highlight w:val="none"/>
        </w:rPr>
        <w:t xml:space="preserve">                                         法定代表人或委托代理人：</w:t>
      </w:r>
      <w:r>
        <w:rPr>
          <w:rFonts w:hint="eastAsia" w:ascii="宋体" w:hAnsi="宋体"/>
          <w:szCs w:val="21"/>
          <w:highlight w:val="none"/>
          <w:u w:val="single"/>
        </w:rPr>
        <w:t xml:space="preserve">             </w:t>
      </w:r>
      <w:r>
        <w:rPr>
          <w:rFonts w:hint="eastAsia" w:ascii="宋体" w:hAnsi="宋体"/>
          <w:szCs w:val="21"/>
          <w:highlight w:val="none"/>
        </w:rPr>
        <w:t>（签字或盖章）</w:t>
      </w:r>
    </w:p>
    <w:p w14:paraId="00EE5773">
      <w:pPr>
        <w:pStyle w:val="2"/>
        <w:snapToGrid w:val="0"/>
        <w:spacing w:line="500" w:lineRule="exact"/>
        <w:ind w:firstLine="640"/>
        <w:rPr>
          <w:rFonts w:hint="eastAsia" w:ascii="宋体" w:hAnsi="宋体"/>
          <w:szCs w:val="21"/>
          <w:highlight w:val="none"/>
        </w:rPr>
      </w:pPr>
      <w:r>
        <w:rPr>
          <w:rFonts w:hint="eastAsia" w:ascii="宋体" w:hAnsi="宋体"/>
          <w:szCs w:val="21"/>
          <w:highlight w:val="none"/>
        </w:rPr>
        <w:t xml:space="preserve">                            </w:t>
      </w:r>
    </w:p>
    <w:p w14:paraId="198BF6DF">
      <w:pPr>
        <w:pStyle w:val="2"/>
        <w:snapToGrid w:val="0"/>
        <w:spacing w:line="500" w:lineRule="exact"/>
        <w:ind w:firstLine="3400" w:firstLineChars="1700"/>
        <w:rPr>
          <w:rFonts w:hint="eastAsia" w:ascii="宋体" w:hAnsi="宋体"/>
          <w:szCs w:val="21"/>
          <w:highlight w:val="none"/>
        </w:rPr>
      </w:pPr>
      <w:r>
        <w:rPr>
          <w:rFonts w:hint="eastAsia" w:ascii="宋体" w:hAnsi="宋体"/>
          <w:szCs w:val="21"/>
          <w:highlight w:val="none"/>
        </w:rPr>
        <w:t xml:space="preserve">     </w:t>
      </w:r>
      <w:r>
        <w:rPr>
          <w:rFonts w:hint="eastAsia" w:ascii="宋体" w:hAnsi="宋体"/>
          <w:szCs w:val="21"/>
          <w:highlight w:val="none"/>
          <w:u w:val="single"/>
        </w:rPr>
        <w:t xml:space="preserve">      </w:t>
      </w:r>
      <w:r>
        <w:rPr>
          <w:rFonts w:hint="eastAsia" w:ascii="宋体" w:hAnsi="宋体"/>
          <w:szCs w:val="21"/>
          <w:highlight w:val="none"/>
        </w:rPr>
        <w:t>年</w:t>
      </w:r>
      <w:r>
        <w:rPr>
          <w:rFonts w:hint="eastAsia" w:ascii="宋体" w:hAnsi="宋体"/>
          <w:szCs w:val="21"/>
          <w:highlight w:val="none"/>
          <w:u w:val="single"/>
        </w:rPr>
        <w:t xml:space="preserve">    </w:t>
      </w:r>
      <w:r>
        <w:rPr>
          <w:rFonts w:hint="eastAsia" w:ascii="宋体" w:hAnsi="宋体"/>
          <w:szCs w:val="21"/>
          <w:highlight w:val="none"/>
        </w:rPr>
        <w:t>月</w:t>
      </w:r>
      <w:r>
        <w:rPr>
          <w:rFonts w:hint="eastAsia" w:ascii="宋体" w:hAnsi="宋体"/>
          <w:szCs w:val="21"/>
          <w:highlight w:val="none"/>
          <w:u w:val="single"/>
        </w:rPr>
        <w:t xml:space="preserve">    </w:t>
      </w:r>
      <w:r>
        <w:rPr>
          <w:rFonts w:hint="eastAsia" w:ascii="宋体" w:hAnsi="宋体"/>
          <w:szCs w:val="21"/>
          <w:highlight w:val="none"/>
        </w:rPr>
        <w:t>日</w:t>
      </w:r>
    </w:p>
    <w:p w14:paraId="50FAE386">
      <w:pPr>
        <w:snapToGrid w:val="0"/>
        <w:spacing w:line="380" w:lineRule="exact"/>
        <w:ind w:firstLine="420" w:firstLineChars="200"/>
        <w:jc w:val="right"/>
        <w:rPr>
          <w:rFonts w:ascii="宋体" w:hAnsi="宋体"/>
          <w:szCs w:val="21"/>
          <w:highlight w:val="none"/>
        </w:rPr>
      </w:pPr>
    </w:p>
    <w:p w14:paraId="3891618D">
      <w:pPr>
        <w:autoSpaceDE w:val="0"/>
        <w:autoSpaceDN w:val="0"/>
        <w:adjustRightInd w:val="0"/>
        <w:snapToGrid w:val="0"/>
        <w:spacing w:line="360" w:lineRule="auto"/>
        <w:ind w:firstLine="643" w:firstLineChars="200"/>
        <w:jc w:val="center"/>
        <w:rPr>
          <w:rFonts w:hint="eastAsia" w:ascii="宋体" w:hAnsi="宋体"/>
          <w:b/>
          <w:sz w:val="32"/>
          <w:szCs w:val="32"/>
          <w:highlight w:val="none"/>
        </w:rPr>
      </w:pPr>
      <w:r>
        <w:rPr>
          <w:rFonts w:hint="eastAsia" w:ascii="宋体" w:hAnsi="宋体"/>
          <w:b/>
          <w:sz w:val="32"/>
          <w:szCs w:val="32"/>
          <w:highlight w:val="none"/>
        </w:rPr>
        <w:br w:type="page"/>
      </w:r>
      <w:r>
        <w:rPr>
          <w:rFonts w:hint="eastAsia" w:ascii="宋体" w:hAnsi="宋体"/>
          <w:b/>
          <w:sz w:val="32"/>
          <w:szCs w:val="32"/>
          <w:highlight w:val="none"/>
        </w:rPr>
        <w:t>（七）已标价工程量清单</w:t>
      </w:r>
    </w:p>
    <w:p w14:paraId="014685C6">
      <w:pPr>
        <w:pStyle w:val="16"/>
        <w:widowControl/>
        <w:spacing w:line="360" w:lineRule="auto"/>
        <w:ind w:firstLine="413" w:firstLineChars="196"/>
        <w:jc w:val="both"/>
        <w:rPr>
          <w:rFonts w:hint="eastAsia" w:ascii="宋体" w:hAnsi="宋体"/>
          <w:b/>
          <w:kern w:val="2"/>
          <w:sz w:val="21"/>
          <w:szCs w:val="21"/>
          <w:highlight w:val="none"/>
        </w:rPr>
      </w:pPr>
      <w:r>
        <w:rPr>
          <w:rFonts w:hint="eastAsia" w:ascii="宋体" w:hAnsi="宋体"/>
          <w:b/>
          <w:kern w:val="2"/>
          <w:sz w:val="21"/>
          <w:szCs w:val="21"/>
          <w:highlight w:val="none"/>
        </w:rPr>
        <w:t>本工程投标报价参照相关定额及相关配套文件等规定并结合市场行情编制投标预算，并提交已标价工程量清单。</w:t>
      </w:r>
    </w:p>
    <w:p w14:paraId="6AD61745">
      <w:pPr>
        <w:autoSpaceDE w:val="0"/>
        <w:autoSpaceDN w:val="0"/>
        <w:adjustRightInd w:val="0"/>
        <w:snapToGrid w:val="0"/>
        <w:spacing w:line="360" w:lineRule="auto"/>
        <w:ind w:firstLine="422" w:firstLineChars="200"/>
        <w:rPr>
          <w:rFonts w:hint="eastAsia" w:ascii="宋体" w:hAnsi="宋体"/>
          <w:highlight w:val="none"/>
        </w:rPr>
      </w:pPr>
      <w:r>
        <w:rPr>
          <w:rFonts w:hint="eastAsia" w:ascii="宋体" w:hAnsi="宋体"/>
          <w:b/>
          <w:szCs w:val="21"/>
          <w:highlight w:val="none"/>
        </w:rPr>
        <w:t>注：投标人提交的已标价工程量清单纸质资料可不打印综合单价分析表。</w:t>
      </w:r>
    </w:p>
    <w:p w14:paraId="354EEC95">
      <w:pPr>
        <w:rPr>
          <w:rFonts w:hint="eastAsia" w:eastAsia="宋体"/>
          <w:lang w:val="en-US" w:eastAsia="zh-CN"/>
        </w:rPr>
      </w:pPr>
    </w:p>
    <w:sectPr>
      <w:headerReference r:id="rId19" w:type="default"/>
      <w:footerReference r:id="rId20" w:type="default"/>
      <w:footerReference r:id="rId21" w:type="even"/>
      <w:pgSz w:w="11906" w:h="16838"/>
      <w:pgMar w:top="1134" w:right="1134" w:bottom="1134" w:left="1134" w:header="851" w:footer="992" w:gutter="0"/>
      <w:cols w:space="720" w:num="1"/>
      <w:docGrid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1"/>
    <w:family w:val="auto"/>
    <w:pitch w:val="default"/>
    <w:sig w:usb0="E0002EFF" w:usb1="C000785B" w:usb2="00000009" w:usb3="00000000" w:csb0="400001FF" w:csb1="FFFF0000"/>
  </w:font>
  <w:font w:name="宋体">
    <w:panose1 w:val="02010600030101010101"/>
    <w:charset w:val="8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F7DE5EA4-09F6-4901-B143-6113D538A317}"/>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2010609030101010101"/>
    <w:charset w:val="86"/>
    <w:family w:val="modern"/>
    <w:pitch w:val="default"/>
    <w:sig w:usb0="00000000" w:usb1="00000000" w:usb2="00000000" w:usb3="00000000" w:csb0="00040000" w:csb1="00000000"/>
  </w:font>
  <w:font w:name="Cambria">
    <w:panose1 w:val="02040503050406030204"/>
    <w:charset w:val="00"/>
    <w:family w:val="roman"/>
    <w:pitch w:val="default"/>
    <w:sig w:usb0="E00006FF" w:usb1="420024FF" w:usb2="02000000" w:usb3="00000000" w:csb0="2000019F" w:csb1="00000000"/>
  </w:font>
  <w:font w:name="MingLiU">
    <w:panose1 w:val="02020509000000000000"/>
    <w:charset w:val="88"/>
    <w:family w:val="modern"/>
    <w:pitch w:val="default"/>
    <w:sig w:usb0="A00002FF" w:usb1="28CFFCFA" w:usb2="00000016" w:usb3="00000000" w:csb0="00100001" w:csb1="00000000"/>
    <w:embedRegular r:id="rId2" w:fontKey="{B100B90B-6A41-4B4F-81D7-0E03403E20E9}"/>
  </w:font>
  <w:font w:name="Tahoma">
    <w:panose1 w:val="020B0604030504040204"/>
    <w:charset w:val="00"/>
    <w:family w:val="swiss"/>
    <w:pitch w:val="default"/>
    <w:sig w:usb0="E1002EFF" w:usb1="C000605B" w:usb2="00000029" w:usb3="00000000" w:csb0="200101FF" w:csb1="20280000"/>
  </w:font>
  <w:font w:name="ˎ̥">
    <w:altName w:val="Times New Roman"/>
    <w:panose1 w:val="00000000000000000000"/>
    <w:charset w:val="00"/>
    <w:family w:val="auto"/>
    <w:pitch w:val="default"/>
    <w:sig w:usb0="00000000" w:usb1="00000000" w:usb2="00000000" w:usb3="00000000" w:csb0="00040001" w:csb1="00000000"/>
  </w:font>
  <w:font w:name="Calibri Light">
    <w:panose1 w:val="020F0302020204030204"/>
    <w:charset w:val="00"/>
    <w:family w:val="swiss"/>
    <w:pitch w:val="default"/>
    <w:sig w:usb0="E4002EFF" w:usb1="C000247B" w:usb2="00000009" w:usb3="00000000" w:csb0="200001FF" w:csb1="00000000"/>
  </w:font>
  <w:font w:name="方正仿宋简体">
    <w:altName w:val="微软雅黑"/>
    <w:panose1 w:val="00000000000000000000"/>
    <w:charset w:val="86"/>
    <w:family w:val="auto"/>
    <w:pitch w:val="default"/>
    <w:sig w:usb0="00000000" w:usb1="00000000" w:usb2="00000000" w:usb3="00000000" w:csb0="00040000" w:csb1="00000000"/>
  </w:font>
  <w:font w:name="方正书宋简体">
    <w:altName w:val="微软雅黑"/>
    <w:panose1 w:val="00000000000000000000"/>
    <w:charset w:val="86"/>
    <w:family w:val="auto"/>
    <w:pitch w:val="default"/>
    <w:sig w:usb0="00000000" w:usb1="00000000" w:usb2="00000000" w:usb3="00000000" w:csb0="00040000" w:csb1="00000000"/>
  </w:font>
  <w:font w:name="方正小标宋简体">
    <w:altName w:val="黑体"/>
    <w:panose1 w:val="03000509000000000000"/>
    <w:charset w:val="86"/>
    <w:family w:val="script"/>
    <w:pitch w:val="default"/>
    <w:sig w:usb0="00000000" w:usb1="00000000" w:usb2="00000010" w:usb3="00000000" w:csb0="00040000" w:csb1="00000000"/>
  </w:font>
  <w:font w:name="华文细黑">
    <w:panose1 w:val="02010600040101010101"/>
    <w:charset w:val="86"/>
    <w:family w:val="auto"/>
    <w:pitch w:val="default"/>
    <w:sig w:usb0="00000287" w:usb1="080F0000" w:usb2="00000000" w:usb3="00000000" w:csb0="0004009F" w:csb1="DFD70000"/>
  </w:font>
  <w:font w:name="华文中宋">
    <w:panose1 w:val="02010600040101010101"/>
    <w:charset w:val="86"/>
    <w:family w:val="auto"/>
    <w:pitch w:val="default"/>
    <w:sig w:usb0="00000287" w:usb1="080F0000" w:usb2="00000000" w:usb3="00000000" w:csb0="0004009F" w:csb1="DFD70000"/>
  </w:font>
  <w:font w:name="仿宋">
    <w:panose1 w:val="02010609060101010101"/>
    <w:charset w:val="86"/>
    <w:family w:val="modern"/>
    <w:pitch w:val="default"/>
    <w:sig w:usb0="800002BF" w:usb1="38CF7CFA" w:usb2="00000016" w:usb3="00000000" w:csb0="00040001" w:csb1="00000000"/>
    <w:embedRegular r:id="rId3" w:fontKey="{B3E9E0C1-FD29-4C2E-B8D6-AFBA165BF04B}"/>
  </w:font>
  <w:font w:name="Segoe UI">
    <w:panose1 w:val="020B0502040204020203"/>
    <w:charset w:val="00"/>
    <w:family w:val="auto"/>
    <w:pitch w:val="default"/>
    <w:sig w:usb0="E4002EFF" w:usb1="C000E47F" w:usb2="00000009" w:usb3="00000000" w:csb0="200001FF" w:csb1="00000000"/>
    <w:embedRegular r:id="rId4" w:fontKey="{11012D3D-C663-4B25-A030-3E51123CA302}"/>
  </w:font>
  <w:font w:name="微软雅黑">
    <w:panose1 w:val="020B0503020204020204"/>
    <w:charset w:val="86"/>
    <w:family w:val="swiss"/>
    <w:pitch w:val="default"/>
    <w:sig w:usb0="80000287" w:usb1="2ACF3C50" w:usb2="00000016" w:usb3="00000000" w:csb0="0004001F" w:csb1="00000000"/>
    <w:embedRegular r:id="rId5" w:fontKey="{E486BB1C-3884-4FAA-867D-E9BD7DD8C11A}"/>
  </w:font>
  <w:font w:name="TimesNewRomanPSMT">
    <w:altName w:val="宋体"/>
    <w:panose1 w:val="00000000000000000000"/>
    <w:charset w:val="00"/>
    <w:family w:val="roman"/>
    <w:pitch w:val="default"/>
    <w:sig w:usb0="00000000" w:usb1="00000000" w:usb2="00000010" w:usb3="00000000" w:csb0="00040001" w:csb1="00000000"/>
    <w:embedRegular r:id="rId6" w:fontKey="{9662D003-BC33-43FB-936B-EF4021980B3A}"/>
  </w:font>
  <w:font w:name="Microsoft Sans Serif">
    <w:panose1 w:val="020B0604020202020204"/>
    <w:charset w:val="00"/>
    <w:family w:val="swiss"/>
    <w:pitch w:val="default"/>
    <w:sig w:usb0="E5002EFF" w:usb1="C000605B" w:usb2="00000029" w:usb3="00000000" w:csb0="200101FF" w:csb1="20280000"/>
    <w:embedRegular r:id="rId7" w:fontKey="{1EB7EAAE-1F92-43A7-9F75-DE6FB2F99CC2}"/>
  </w:font>
  <w:font w:name="方正仿宋_GBK">
    <w:panose1 w:val="03000509000000000000"/>
    <w:charset w:val="86"/>
    <w:family w:val="auto"/>
    <w:pitch w:val="default"/>
    <w:sig w:usb0="00000001" w:usb1="080E0000" w:usb2="00000000" w:usb3="00000000" w:csb0="00040000" w:csb1="00000000"/>
    <w:embedRegular r:id="rId8" w:fontKey="{43027415-EA12-4007-BF0D-87C66541A2AD}"/>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EACB662">
    <w:pPr>
      <w:pStyle w:val="30"/>
      <w:tabs>
        <w:tab w:val="center" w:pos="4677"/>
        <w:tab w:val="clear" w:pos="4153"/>
      </w:tabs>
    </w:pPr>
    <w:r>
      <w:rPr>
        <w:rFonts w:hint="eastAsia"/>
      </w:rPr>
      <w:tab/>
    </w: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9AFA9BC">
    <w:pPr>
      <w:pStyle w:val="30"/>
      <w:framePr w:wrap="around" w:vAnchor="text" w:hAnchor="margin" w:xAlign="center" w:y="1"/>
      <w:rPr>
        <w:rStyle w:val="52"/>
      </w:rPr>
    </w:pPr>
    <w:r>
      <w:fldChar w:fldCharType="begin"/>
    </w:r>
    <w:r>
      <w:rPr>
        <w:rStyle w:val="52"/>
      </w:rPr>
      <w:instrText xml:space="preserve">PAGE  </w:instrText>
    </w:r>
    <w:r>
      <w:fldChar w:fldCharType="separate"/>
    </w:r>
    <w:r>
      <w:rPr>
        <w:rStyle w:val="52"/>
      </w:rPr>
      <w:t>49</w:t>
    </w:r>
    <w:r>
      <w:fldChar w:fldCharType="end"/>
    </w:r>
  </w:p>
  <w:p w14:paraId="4EE429FE">
    <w:pPr>
      <w:pStyle w:val="30"/>
    </w:pP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35E4894">
    <w:pPr>
      <w:pStyle w:val="30"/>
      <w:framePr w:wrap="around" w:vAnchor="text" w:hAnchor="margin" w:xAlign="center" w:y="1"/>
      <w:rPr>
        <w:rStyle w:val="52"/>
      </w:rPr>
    </w:pPr>
    <w:r>
      <w:fldChar w:fldCharType="begin"/>
    </w:r>
    <w:r>
      <w:rPr>
        <w:rStyle w:val="52"/>
      </w:rPr>
      <w:instrText xml:space="preserve">PAGE  </w:instrText>
    </w:r>
    <w:r>
      <w:fldChar w:fldCharType="end"/>
    </w:r>
  </w:p>
  <w:p w14:paraId="6FE97B57">
    <w:pPr>
      <w:pStyle w:val="3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DB193F0">
    <w:pPr>
      <w:pStyle w:val="30"/>
      <w:tabs>
        <w:tab w:val="center" w:pos="4677"/>
        <w:tab w:val="clear" w:pos="4153"/>
        <w:tab w:val="clear" w:pos="8306"/>
      </w:tabs>
    </w:pPr>
    <w:r>
      <w:rPr>
        <w:rFonts w:hint="eastAsia"/>
      </w:rPr>
      <w:tab/>
    </w:r>
    <w:r>
      <w:rPr>
        <w:rFonts w:hint="eastAsia"/>
      </w:rPr>
      <w:tab/>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B6B26C9">
    <w:pPr>
      <w:pStyle w:val="30"/>
      <w:tabs>
        <w:tab w:val="center" w:pos="4677"/>
        <w:tab w:val="clear" w:pos="4153"/>
        <w:tab w:val="clear" w:pos="8306"/>
      </w:tabs>
    </w:pPr>
    <w: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5" name="文本框 102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375D590F">
                          <w:pPr>
                            <w:pStyle w:val="30"/>
                            <w:rPr>
                              <w:rFonts w:eastAsia="微软雅黑"/>
                            </w:rPr>
                          </w:pPr>
                          <w:r>
                            <w:rPr>
                              <w:rFonts w:hint="eastAsia"/>
                            </w:rPr>
                            <w:fldChar w:fldCharType="begin"/>
                          </w:r>
                          <w:r>
                            <w:rPr>
                              <w:rFonts w:hint="eastAsia"/>
                            </w:rPr>
                            <w:instrText xml:space="preserve"> PAGE  \* MERGEFORMAT </w:instrText>
                          </w:r>
                          <w:r>
                            <w:rPr>
                              <w:rFonts w:hint="eastAsia"/>
                            </w:rPr>
                            <w:fldChar w:fldCharType="separate"/>
                          </w:r>
                          <w:r>
                            <w:t>12</w:t>
                          </w:r>
                          <w:r>
                            <w:rPr>
                              <w:rFonts w:hint="eastAsia"/>
                            </w:rPr>
                            <w:fldChar w:fldCharType="end"/>
                          </w:r>
                        </w:p>
                      </w:txbxContent>
                    </wps:txbx>
                    <wps:bodyPr wrap="none" lIns="0" tIns="0" rIns="0" bIns="0">
                      <a:spAutoFit/>
                    </wps:bodyPr>
                  </wps:wsp>
                </a:graphicData>
              </a:graphic>
            </wp:anchor>
          </w:drawing>
        </mc:Choice>
        <mc:Fallback>
          <w:pict>
            <v:shape id="文本框 1027"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DOqXm5zwAAAAUBAAAPAAAAAAAAAAEAIAAAACIAAABkcnMvZG93bnJldi54bWxQSwEC&#10;FAAUAAAACACHTuJAaqWMFsQBAACQAwAADgAAAAAAAAABACAAAAAeAQAAZHJzL2Uyb0RvYy54bWxQ&#10;SwUGAAAAAAYABgBZAQAAVAUAAAAA&#10;">
              <v:fill on="f" focussize="0,0"/>
              <v:stroke on="f"/>
              <v:imagedata o:title=""/>
              <o:lock v:ext="edit" aspectratio="f"/>
              <v:textbox inset="0mm,0mm,0mm,0mm" style="mso-fit-shape-to-text:t;">
                <w:txbxContent>
                  <w:p w14:paraId="375D590F">
                    <w:pPr>
                      <w:pStyle w:val="30"/>
                      <w:rPr>
                        <w:rFonts w:eastAsia="微软雅黑"/>
                      </w:rPr>
                    </w:pPr>
                    <w:r>
                      <w:rPr>
                        <w:rFonts w:hint="eastAsia"/>
                      </w:rPr>
                      <w:fldChar w:fldCharType="begin"/>
                    </w:r>
                    <w:r>
                      <w:rPr>
                        <w:rFonts w:hint="eastAsia"/>
                      </w:rPr>
                      <w:instrText xml:space="preserve"> PAGE  \* MERGEFORMAT </w:instrText>
                    </w:r>
                    <w:r>
                      <w:rPr>
                        <w:rFonts w:hint="eastAsia"/>
                      </w:rPr>
                      <w:fldChar w:fldCharType="separate"/>
                    </w:r>
                    <w:r>
                      <w:t>12</w:t>
                    </w:r>
                    <w:r>
                      <w:rPr>
                        <w:rFonts w:hint="eastAsia"/>
                      </w:rPr>
                      <w:fldChar w:fldCharType="end"/>
                    </w:r>
                  </w:p>
                </w:txbxContent>
              </v:textbox>
            </v:shape>
          </w:pict>
        </mc:Fallback>
      </mc:AlternateContent>
    </w:r>
    <w:r>
      <w:rPr>
        <w:rFonts w:hint="eastAsia"/>
      </w:rPr>
      <w:tab/>
    </w:r>
    <w:r>
      <w:rPr>
        <w:rFonts w:hint="eastAsia"/>
      </w:rPr>
      <w:tab/>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AE53999">
    <w:pPr>
      <w:pStyle w:val="30"/>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102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4FF56530">
                          <w:pPr>
                            <w:pStyle w:val="30"/>
                            <w:rPr>
                              <w:rFonts w:eastAsia="微软雅黑"/>
                            </w:rPr>
                          </w:pPr>
                          <w:r>
                            <w:rPr>
                              <w:rFonts w:hint="eastAsia"/>
                            </w:rPr>
                            <w:fldChar w:fldCharType="begin"/>
                          </w:r>
                          <w:r>
                            <w:rPr>
                              <w:rFonts w:hint="eastAsia"/>
                            </w:rPr>
                            <w:instrText xml:space="preserve"> PAGE  \* MERGEFORMAT </w:instrText>
                          </w:r>
                          <w:r>
                            <w:rPr>
                              <w:rFonts w:hint="eastAsia"/>
                            </w:rPr>
                            <w:fldChar w:fldCharType="separate"/>
                          </w:r>
                          <w:r>
                            <w:t>23</w:t>
                          </w:r>
                          <w:r>
                            <w:rPr>
                              <w:rFonts w:hint="eastAsia"/>
                            </w:rPr>
                            <w:fldChar w:fldCharType="end"/>
                          </w:r>
                        </w:p>
                      </w:txbxContent>
                    </wps:txbx>
                    <wps:bodyPr wrap="none" lIns="0" tIns="0" rIns="0" bIns="0">
                      <a:spAutoFit/>
                    </wps:bodyPr>
                  </wps:wsp>
                </a:graphicData>
              </a:graphic>
            </wp:anchor>
          </w:drawing>
        </mc:Choice>
        <mc:Fallback>
          <w:pict>
            <v:shape id="文本框 1028"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">
              <v:fill on="f" focussize="0,0"/>
              <v:stroke on="f"/>
              <v:imagedata o:title=""/>
              <o:lock v:ext="edit" aspectratio="f"/>
              <v:textbox inset="0mm,0mm,0mm,0mm" style="mso-fit-shape-to-text:t;">
                <w:txbxContent>
                  <w:p w14:paraId="4FF56530">
                    <w:pPr>
                      <w:pStyle w:val="30"/>
                      <w:rPr>
                        <w:rFonts w:eastAsia="微软雅黑"/>
                      </w:rPr>
                    </w:pPr>
                    <w:r>
                      <w:rPr>
                        <w:rFonts w:hint="eastAsia"/>
                      </w:rPr>
                      <w:fldChar w:fldCharType="begin"/>
                    </w:r>
                    <w:r>
                      <w:rPr>
                        <w:rFonts w:hint="eastAsia"/>
                      </w:rPr>
                      <w:instrText xml:space="preserve"> PAGE  \* MERGEFORMAT </w:instrText>
                    </w:r>
                    <w:r>
                      <w:rPr>
                        <w:rFonts w:hint="eastAsia"/>
                      </w:rPr>
                      <w:fldChar w:fldCharType="separate"/>
                    </w:r>
                    <w:r>
                      <w:t>23</w:t>
                    </w:r>
                    <w:r>
                      <w:rPr>
                        <w:rFonts w:hint="eastAsia"/>
                      </w:rPr>
                      <w:fldChar w:fldCharType="end"/>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B81C542">
    <w:pPr>
      <w:pStyle w:val="30"/>
      <w:framePr w:wrap="around" w:vAnchor="text" w:hAnchor="margin" w:xAlign="center" w:y="1"/>
      <w:rPr>
        <w:rStyle w:val="52"/>
      </w:rPr>
    </w:pPr>
    <w:r>
      <w:fldChar w:fldCharType="begin"/>
    </w:r>
    <w:r>
      <w:rPr>
        <w:rStyle w:val="52"/>
      </w:rPr>
      <w:instrText xml:space="preserve">PAGE  </w:instrText>
    </w:r>
    <w:r>
      <w:fldChar w:fldCharType="end"/>
    </w:r>
  </w:p>
  <w:p w14:paraId="02FA7A7F">
    <w:pPr>
      <w:pStyle w:val="30"/>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4CCD9F3">
    <w:pPr>
      <w:pStyle w:val="30"/>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3B986BE">
    <w:pPr>
      <w:pStyle w:val="30"/>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102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6E98AE6F">
                          <w:pPr>
                            <w:pStyle w:val="30"/>
                            <w:rPr>
                              <w:rFonts w:eastAsia="微软雅黑"/>
                            </w:rPr>
                          </w:pPr>
                          <w:r>
                            <w:rPr>
                              <w:rFonts w:hint="eastAsia"/>
                            </w:rPr>
                            <w:fldChar w:fldCharType="begin"/>
                          </w:r>
                          <w:r>
                            <w:rPr>
                              <w:rFonts w:hint="eastAsia"/>
                            </w:rPr>
                            <w:instrText xml:space="preserve"> PAGE  \* MERGEFORMAT </w:instrText>
                          </w:r>
                          <w:r>
                            <w:rPr>
                              <w:rFonts w:hint="eastAsia"/>
                            </w:rPr>
                            <w:fldChar w:fldCharType="separate"/>
                          </w:r>
                          <w:r>
                            <w:t>27</w:t>
                          </w:r>
                          <w:r>
                            <w:rPr>
                              <w:rFonts w:hint="eastAsia"/>
                            </w:rPr>
                            <w:fldChar w:fldCharType="end"/>
                          </w:r>
                        </w:p>
                      </w:txbxContent>
                    </wps:txbx>
                    <wps:bodyPr wrap="none" lIns="0" tIns="0" rIns="0" bIns="0">
                      <a:spAutoFit/>
                    </wps:bodyPr>
                  </wps:wsp>
                </a:graphicData>
              </a:graphic>
            </wp:anchor>
          </w:drawing>
        </mc:Choice>
        <mc:Fallback>
          <w:pict>
            <v:shape id="文本框 1029"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DOqXm5zwAAAAUBAAAPAAAAAAAAAAEAIAAAACIAAABkcnMvZG93bnJldi54bWxQSwEC&#10;FAAUAAAACACHTuJA1H1+Z8QBAACQAwAADgAAAAAAAAABACAAAAAeAQAAZHJzL2Uyb0RvYy54bWxQ&#10;SwUGAAAAAAYABgBZAQAAVAUAAAAA&#10;">
              <v:fill on="f" focussize="0,0"/>
              <v:stroke on="f"/>
              <v:imagedata o:title=""/>
              <o:lock v:ext="edit" aspectratio="f"/>
              <v:textbox inset="0mm,0mm,0mm,0mm" style="mso-fit-shape-to-text:t;">
                <w:txbxContent>
                  <w:p w14:paraId="6E98AE6F">
                    <w:pPr>
                      <w:pStyle w:val="30"/>
                      <w:rPr>
                        <w:rFonts w:eastAsia="微软雅黑"/>
                      </w:rPr>
                    </w:pPr>
                    <w:r>
                      <w:rPr>
                        <w:rFonts w:hint="eastAsia"/>
                      </w:rPr>
                      <w:fldChar w:fldCharType="begin"/>
                    </w:r>
                    <w:r>
                      <w:rPr>
                        <w:rFonts w:hint="eastAsia"/>
                      </w:rPr>
                      <w:instrText xml:space="preserve"> PAGE  \* MERGEFORMAT </w:instrText>
                    </w:r>
                    <w:r>
                      <w:rPr>
                        <w:rFonts w:hint="eastAsia"/>
                      </w:rPr>
                      <w:fldChar w:fldCharType="separate"/>
                    </w:r>
                    <w:r>
                      <w:t>27</w:t>
                    </w:r>
                    <w:r>
                      <w:rPr>
                        <w:rFonts w:hint="eastAsia"/>
                      </w:rPr>
                      <w:fldChar w:fldCharType="end"/>
                    </w:r>
                  </w:p>
                </w:txbxContent>
              </v:textbox>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A8439C4">
    <w:pPr>
      <w:pStyle w:val="30"/>
      <w:framePr w:wrap="around" w:vAnchor="text" w:hAnchor="margin" w:xAlign="center" w:y="1"/>
      <w:rPr>
        <w:rStyle w:val="52"/>
      </w:rPr>
    </w:pPr>
    <w:r>
      <w:fldChar w:fldCharType="begin"/>
    </w:r>
    <w:r>
      <w:rPr>
        <w:rStyle w:val="52"/>
      </w:rPr>
      <w:instrText xml:space="preserve">PAGE  </w:instrText>
    </w:r>
    <w:r>
      <w:fldChar w:fldCharType="end"/>
    </w:r>
  </w:p>
  <w:p w14:paraId="7A0451FC">
    <w:pPr>
      <w:pStyle w:val="30"/>
    </w:pP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4825FED">
    <w:pPr>
      <w:pStyle w:val="30"/>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CA89FCA">
    <w:pPr>
      <w:pStyle w:val="31"/>
      <w:pBdr>
        <w:bottom w:val="none" w:color="auto" w:sz="0" w:space="0"/>
      </w:pBdr>
      <w:jc w:val="both"/>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5A53C6A">
    <w:pPr>
      <w:pStyle w:val="31"/>
      <w:pBdr>
        <w:bottom w:val="none" w:color="auto" w:sz="0" w:space="0"/>
      </w:pBdr>
      <w:jc w:val="both"/>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6C099F5">
    <w:pPr>
      <w:pStyle w:val="31"/>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813CEF6">
    <w:pPr>
      <w:pStyle w:val="31"/>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5D32F8F">
    <w:pPr>
      <w:pStyle w:val="31"/>
      <w:pBdr>
        <w:bottom w:val="none" w:color="auto" w:sz="0" w:space="0"/>
      </w:pBdr>
      <w:jc w:val="both"/>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E68C9CE">
    <w:pPr>
      <w:pStyle w:val="31"/>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7173418">
    <w:pPr>
      <w:pStyle w:val="31"/>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BC43927">
    <w:pPr>
      <w:pStyle w:val="31"/>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450CE46"/>
    <w:multiLevelType w:val="singleLevel"/>
    <w:tmpl w:val="A450CE46"/>
    <w:lvl w:ilvl="0" w:tentative="0">
      <w:start w:val="1"/>
      <w:numFmt w:val="chineseCounting"/>
      <w:suff w:val="space"/>
      <w:lvlText w:val="第%1章"/>
      <w:lvlJc w:val="left"/>
      <w:rPr>
        <w:rFonts w:hint="eastAsia"/>
      </w:rPr>
    </w:lvl>
  </w:abstractNum>
  <w:abstractNum w:abstractNumId="1">
    <w:nsid w:val="00000006"/>
    <w:multiLevelType w:val="singleLevel"/>
    <w:tmpl w:val="00000006"/>
    <w:lvl w:ilvl="0" w:tentative="0">
      <w:start w:val="1"/>
      <w:numFmt w:val="decimal"/>
      <w:suff w:val="nothing"/>
      <w:lvlText w:val="（%1）"/>
      <w:lvlJc w:val="left"/>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70"/>
  <w:embedTrueTypeFonts/>
  <w:saveSubsetFonts/>
  <w:bordersDoNotSurroundHeader w:val="0"/>
  <w:bordersDoNotSurroundFooter w:val="0"/>
  <w:hideSpellingErrors/>
  <w:attachedTemplate r:id="rId1"/>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mU2ZDQxOTg2MmQ4MDFmNTMxZjg0YTg5Zjc0NDhjZTEifQ=="/>
  </w:docVars>
  <w:rsids>
    <w:rsidRoot w:val="769076F7"/>
    <w:rsid w:val="000056E7"/>
    <w:rsid w:val="00006C58"/>
    <w:rsid w:val="0001301D"/>
    <w:rsid w:val="0002036E"/>
    <w:rsid w:val="00030FDD"/>
    <w:rsid w:val="00033EAD"/>
    <w:rsid w:val="0003671E"/>
    <w:rsid w:val="000432DE"/>
    <w:rsid w:val="00046CA0"/>
    <w:rsid w:val="00056679"/>
    <w:rsid w:val="000A7CC2"/>
    <w:rsid w:val="000B3E2F"/>
    <w:rsid w:val="000D0B63"/>
    <w:rsid w:val="000D3223"/>
    <w:rsid w:val="000E07C5"/>
    <w:rsid w:val="000E2FDE"/>
    <w:rsid w:val="000F47FE"/>
    <w:rsid w:val="001068E8"/>
    <w:rsid w:val="00122F3D"/>
    <w:rsid w:val="001251E6"/>
    <w:rsid w:val="00130A78"/>
    <w:rsid w:val="00136AF1"/>
    <w:rsid w:val="001441C6"/>
    <w:rsid w:val="00144FA0"/>
    <w:rsid w:val="00145C72"/>
    <w:rsid w:val="00167D72"/>
    <w:rsid w:val="00183350"/>
    <w:rsid w:val="0019121D"/>
    <w:rsid w:val="00191994"/>
    <w:rsid w:val="001B73A0"/>
    <w:rsid w:val="001C4713"/>
    <w:rsid w:val="001C66E0"/>
    <w:rsid w:val="001D0D0E"/>
    <w:rsid w:val="001D29C8"/>
    <w:rsid w:val="001E20E8"/>
    <w:rsid w:val="001F14AA"/>
    <w:rsid w:val="001F52AD"/>
    <w:rsid w:val="001F7A33"/>
    <w:rsid w:val="001F7E69"/>
    <w:rsid w:val="002078C2"/>
    <w:rsid w:val="00240CDC"/>
    <w:rsid w:val="00261342"/>
    <w:rsid w:val="002704C8"/>
    <w:rsid w:val="00272F4D"/>
    <w:rsid w:val="0029355D"/>
    <w:rsid w:val="002A24C8"/>
    <w:rsid w:val="002A2643"/>
    <w:rsid w:val="002B53CB"/>
    <w:rsid w:val="002C1F02"/>
    <w:rsid w:val="002E5ED0"/>
    <w:rsid w:val="003252C6"/>
    <w:rsid w:val="0033653E"/>
    <w:rsid w:val="00337E3E"/>
    <w:rsid w:val="0034346F"/>
    <w:rsid w:val="003516FA"/>
    <w:rsid w:val="00361BA3"/>
    <w:rsid w:val="00375173"/>
    <w:rsid w:val="003757A5"/>
    <w:rsid w:val="00386DEA"/>
    <w:rsid w:val="003B062C"/>
    <w:rsid w:val="003B69D1"/>
    <w:rsid w:val="003C7F09"/>
    <w:rsid w:val="003E25FA"/>
    <w:rsid w:val="003E3230"/>
    <w:rsid w:val="003E3BF7"/>
    <w:rsid w:val="003E6F63"/>
    <w:rsid w:val="00400807"/>
    <w:rsid w:val="00433716"/>
    <w:rsid w:val="00445B0E"/>
    <w:rsid w:val="0046556B"/>
    <w:rsid w:val="004734F4"/>
    <w:rsid w:val="00497026"/>
    <w:rsid w:val="004A2082"/>
    <w:rsid w:val="004D70E7"/>
    <w:rsid w:val="00501F01"/>
    <w:rsid w:val="005039E0"/>
    <w:rsid w:val="00507536"/>
    <w:rsid w:val="00510227"/>
    <w:rsid w:val="00512B97"/>
    <w:rsid w:val="00524630"/>
    <w:rsid w:val="005452D8"/>
    <w:rsid w:val="00553B2E"/>
    <w:rsid w:val="005566C1"/>
    <w:rsid w:val="0056143C"/>
    <w:rsid w:val="0056189D"/>
    <w:rsid w:val="005735F5"/>
    <w:rsid w:val="005D5BD4"/>
    <w:rsid w:val="005E6DA1"/>
    <w:rsid w:val="005F35AC"/>
    <w:rsid w:val="005F4A23"/>
    <w:rsid w:val="006048D3"/>
    <w:rsid w:val="00612778"/>
    <w:rsid w:val="0063093F"/>
    <w:rsid w:val="00632B21"/>
    <w:rsid w:val="00644C74"/>
    <w:rsid w:val="00671039"/>
    <w:rsid w:val="00697BF6"/>
    <w:rsid w:val="006A2EB6"/>
    <w:rsid w:val="006A3A64"/>
    <w:rsid w:val="006A72A8"/>
    <w:rsid w:val="006D0A6A"/>
    <w:rsid w:val="006F33E2"/>
    <w:rsid w:val="006F7E2D"/>
    <w:rsid w:val="0070137E"/>
    <w:rsid w:val="00702909"/>
    <w:rsid w:val="007100B9"/>
    <w:rsid w:val="007129BC"/>
    <w:rsid w:val="00756A43"/>
    <w:rsid w:val="00773E49"/>
    <w:rsid w:val="0077708E"/>
    <w:rsid w:val="00793216"/>
    <w:rsid w:val="007A60B2"/>
    <w:rsid w:val="007C1A92"/>
    <w:rsid w:val="007C56B6"/>
    <w:rsid w:val="007E419B"/>
    <w:rsid w:val="007E49C4"/>
    <w:rsid w:val="007F65FB"/>
    <w:rsid w:val="008132C5"/>
    <w:rsid w:val="00813F5F"/>
    <w:rsid w:val="0083289E"/>
    <w:rsid w:val="008341F7"/>
    <w:rsid w:val="00844CCD"/>
    <w:rsid w:val="0085493D"/>
    <w:rsid w:val="00872D2A"/>
    <w:rsid w:val="00874EC1"/>
    <w:rsid w:val="00883B93"/>
    <w:rsid w:val="0088780C"/>
    <w:rsid w:val="008916F8"/>
    <w:rsid w:val="00892D90"/>
    <w:rsid w:val="008A03E3"/>
    <w:rsid w:val="008C3A5B"/>
    <w:rsid w:val="008C4CE3"/>
    <w:rsid w:val="008D2ACC"/>
    <w:rsid w:val="008D52A8"/>
    <w:rsid w:val="009027DE"/>
    <w:rsid w:val="009049E9"/>
    <w:rsid w:val="00912B95"/>
    <w:rsid w:val="00912EF1"/>
    <w:rsid w:val="009350CA"/>
    <w:rsid w:val="00943C93"/>
    <w:rsid w:val="009578EB"/>
    <w:rsid w:val="00963992"/>
    <w:rsid w:val="00971859"/>
    <w:rsid w:val="009859C0"/>
    <w:rsid w:val="00994DB9"/>
    <w:rsid w:val="009950F1"/>
    <w:rsid w:val="009954C0"/>
    <w:rsid w:val="009A36E8"/>
    <w:rsid w:val="009A5325"/>
    <w:rsid w:val="009B1A56"/>
    <w:rsid w:val="009B2C3A"/>
    <w:rsid w:val="009B6478"/>
    <w:rsid w:val="009D4218"/>
    <w:rsid w:val="009F403A"/>
    <w:rsid w:val="009F462F"/>
    <w:rsid w:val="00A138A8"/>
    <w:rsid w:val="00A224C8"/>
    <w:rsid w:val="00A26D5C"/>
    <w:rsid w:val="00A618E2"/>
    <w:rsid w:val="00A7529E"/>
    <w:rsid w:val="00A87570"/>
    <w:rsid w:val="00A92565"/>
    <w:rsid w:val="00A957D8"/>
    <w:rsid w:val="00A95C81"/>
    <w:rsid w:val="00AF0372"/>
    <w:rsid w:val="00AF273F"/>
    <w:rsid w:val="00AF329C"/>
    <w:rsid w:val="00B0639F"/>
    <w:rsid w:val="00B119F7"/>
    <w:rsid w:val="00B23BB2"/>
    <w:rsid w:val="00B30226"/>
    <w:rsid w:val="00B37C7C"/>
    <w:rsid w:val="00B67418"/>
    <w:rsid w:val="00B75104"/>
    <w:rsid w:val="00B82A5C"/>
    <w:rsid w:val="00B8571D"/>
    <w:rsid w:val="00BC2EBA"/>
    <w:rsid w:val="00BC670D"/>
    <w:rsid w:val="00BE1C40"/>
    <w:rsid w:val="00C2275E"/>
    <w:rsid w:val="00C278F1"/>
    <w:rsid w:val="00C31C1A"/>
    <w:rsid w:val="00C34C4A"/>
    <w:rsid w:val="00C614A1"/>
    <w:rsid w:val="00C840AA"/>
    <w:rsid w:val="00C929D1"/>
    <w:rsid w:val="00CA33E9"/>
    <w:rsid w:val="00CA6881"/>
    <w:rsid w:val="00CD11FC"/>
    <w:rsid w:val="00CD1D53"/>
    <w:rsid w:val="00D21C7A"/>
    <w:rsid w:val="00D2221D"/>
    <w:rsid w:val="00D426DB"/>
    <w:rsid w:val="00D7521C"/>
    <w:rsid w:val="00D9615D"/>
    <w:rsid w:val="00DB5D2A"/>
    <w:rsid w:val="00DC239E"/>
    <w:rsid w:val="00DC6413"/>
    <w:rsid w:val="00DD0C17"/>
    <w:rsid w:val="00DD6C6B"/>
    <w:rsid w:val="00DE7F4F"/>
    <w:rsid w:val="00DF5B68"/>
    <w:rsid w:val="00DF720B"/>
    <w:rsid w:val="00E018FA"/>
    <w:rsid w:val="00E10846"/>
    <w:rsid w:val="00E266C9"/>
    <w:rsid w:val="00E322C3"/>
    <w:rsid w:val="00E41373"/>
    <w:rsid w:val="00E43084"/>
    <w:rsid w:val="00E4621D"/>
    <w:rsid w:val="00E7729D"/>
    <w:rsid w:val="00E87F27"/>
    <w:rsid w:val="00EA5066"/>
    <w:rsid w:val="00EE3D54"/>
    <w:rsid w:val="00F13726"/>
    <w:rsid w:val="00F158D2"/>
    <w:rsid w:val="00F22F9D"/>
    <w:rsid w:val="00F2494D"/>
    <w:rsid w:val="00F421FE"/>
    <w:rsid w:val="00F507B9"/>
    <w:rsid w:val="00F55F31"/>
    <w:rsid w:val="00F56732"/>
    <w:rsid w:val="00F6788E"/>
    <w:rsid w:val="00F83094"/>
    <w:rsid w:val="00FA1F6A"/>
    <w:rsid w:val="00FA2F4B"/>
    <w:rsid w:val="00FC392E"/>
    <w:rsid w:val="00FD0368"/>
    <w:rsid w:val="00FE1E7A"/>
    <w:rsid w:val="01B71FA2"/>
    <w:rsid w:val="01F95EDE"/>
    <w:rsid w:val="02041854"/>
    <w:rsid w:val="022A49B8"/>
    <w:rsid w:val="02317AF5"/>
    <w:rsid w:val="023D3323"/>
    <w:rsid w:val="02D05A8D"/>
    <w:rsid w:val="02DA6E33"/>
    <w:rsid w:val="02E10154"/>
    <w:rsid w:val="031511C4"/>
    <w:rsid w:val="03174F3D"/>
    <w:rsid w:val="03BF2696"/>
    <w:rsid w:val="03EA2702"/>
    <w:rsid w:val="041B280B"/>
    <w:rsid w:val="042F1CFD"/>
    <w:rsid w:val="043D6A41"/>
    <w:rsid w:val="05192C15"/>
    <w:rsid w:val="06085010"/>
    <w:rsid w:val="06605AD6"/>
    <w:rsid w:val="066F02CF"/>
    <w:rsid w:val="068605C7"/>
    <w:rsid w:val="06BC14B2"/>
    <w:rsid w:val="06D55FFE"/>
    <w:rsid w:val="0717587F"/>
    <w:rsid w:val="071F2B16"/>
    <w:rsid w:val="072D2F81"/>
    <w:rsid w:val="07EA0E72"/>
    <w:rsid w:val="082D4166"/>
    <w:rsid w:val="08431698"/>
    <w:rsid w:val="085A242C"/>
    <w:rsid w:val="086A4E21"/>
    <w:rsid w:val="089B4E78"/>
    <w:rsid w:val="08E229C1"/>
    <w:rsid w:val="09041C0C"/>
    <w:rsid w:val="091B68B4"/>
    <w:rsid w:val="092554B7"/>
    <w:rsid w:val="09297778"/>
    <w:rsid w:val="095429DE"/>
    <w:rsid w:val="09787726"/>
    <w:rsid w:val="09896468"/>
    <w:rsid w:val="09B5725D"/>
    <w:rsid w:val="09B94D28"/>
    <w:rsid w:val="09C91584"/>
    <w:rsid w:val="0A04634D"/>
    <w:rsid w:val="0A1F034D"/>
    <w:rsid w:val="0A3E48B7"/>
    <w:rsid w:val="0A3F198D"/>
    <w:rsid w:val="0A6735E8"/>
    <w:rsid w:val="0A982E07"/>
    <w:rsid w:val="0A9A6B7F"/>
    <w:rsid w:val="0AA73699"/>
    <w:rsid w:val="0AB13EC9"/>
    <w:rsid w:val="0AD8441B"/>
    <w:rsid w:val="0B4C3FAB"/>
    <w:rsid w:val="0B4D3BF1"/>
    <w:rsid w:val="0BBE064B"/>
    <w:rsid w:val="0BCF39CE"/>
    <w:rsid w:val="0BF71DAF"/>
    <w:rsid w:val="0C705E91"/>
    <w:rsid w:val="0C8124B8"/>
    <w:rsid w:val="0CBD6881"/>
    <w:rsid w:val="0CEB1BA2"/>
    <w:rsid w:val="0D0C53E6"/>
    <w:rsid w:val="0D58062B"/>
    <w:rsid w:val="0D662D48"/>
    <w:rsid w:val="0D772255"/>
    <w:rsid w:val="0D8B0A01"/>
    <w:rsid w:val="0DCE4674"/>
    <w:rsid w:val="0E2D4A03"/>
    <w:rsid w:val="0E370FEC"/>
    <w:rsid w:val="0EA7186A"/>
    <w:rsid w:val="0EC86BC3"/>
    <w:rsid w:val="0ECB7EDB"/>
    <w:rsid w:val="0F01115E"/>
    <w:rsid w:val="0F380715"/>
    <w:rsid w:val="0F795015"/>
    <w:rsid w:val="0F99720C"/>
    <w:rsid w:val="0FA84B41"/>
    <w:rsid w:val="0FCF68E2"/>
    <w:rsid w:val="0FFF6C1B"/>
    <w:rsid w:val="1001144E"/>
    <w:rsid w:val="10301869"/>
    <w:rsid w:val="104C2BBB"/>
    <w:rsid w:val="10702374"/>
    <w:rsid w:val="10725EA8"/>
    <w:rsid w:val="10760611"/>
    <w:rsid w:val="10FC1E33"/>
    <w:rsid w:val="113C1305"/>
    <w:rsid w:val="11566AC8"/>
    <w:rsid w:val="118C11EC"/>
    <w:rsid w:val="11A7392F"/>
    <w:rsid w:val="11C93240"/>
    <w:rsid w:val="11D30BC8"/>
    <w:rsid w:val="11DD0AEE"/>
    <w:rsid w:val="11FD17D8"/>
    <w:rsid w:val="12064FE4"/>
    <w:rsid w:val="12802AFE"/>
    <w:rsid w:val="12DB7D35"/>
    <w:rsid w:val="137E0C0B"/>
    <w:rsid w:val="139D478D"/>
    <w:rsid w:val="13AF5FFD"/>
    <w:rsid w:val="13B13D62"/>
    <w:rsid w:val="13B81E24"/>
    <w:rsid w:val="13F62655"/>
    <w:rsid w:val="13FE7E61"/>
    <w:rsid w:val="143B0E44"/>
    <w:rsid w:val="14AF1479"/>
    <w:rsid w:val="14E36823"/>
    <w:rsid w:val="150C0679"/>
    <w:rsid w:val="15466462"/>
    <w:rsid w:val="1585042C"/>
    <w:rsid w:val="158E5060"/>
    <w:rsid w:val="15AA616B"/>
    <w:rsid w:val="15CC3983"/>
    <w:rsid w:val="15D73E19"/>
    <w:rsid w:val="15FC29A5"/>
    <w:rsid w:val="16041350"/>
    <w:rsid w:val="16062493"/>
    <w:rsid w:val="16342984"/>
    <w:rsid w:val="16617D5F"/>
    <w:rsid w:val="16D72F09"/>
    <w:rsid w:val="16F13FCB"/>
    <w:rsid w:val="17212C62"/>
    <w:rsid w:val="1740285C"/>
    <w:rsid w:val="17CA0A9B"/>
    <w:rsid w:val="17D30E4F"/>
    <w:rsid w:val="17DD05E8"/>
    <w:rsid w:val="17F4031D"/>
    <w:rsid w:val="18077D7E"/>
    <w:rsid w:val="183E2C2E"/>
    <w:rsid w:val="186E2DA2"/>
    <w:rsid w:val="18AF1274"/>
    <w:rsid w:val="18AF5F53"/>
    <w:rsid w:val="18DF42F7"/>
    <w:rsid w:val="18F71E95"/>
    <w:rsid w:val="18FA6A3B"/>
    <w:rsid w:val="19090F26"/>
    <w:rsid w:val="19611423"/>
    <w:rsid w:val="19C77265"/>
    <w:rsid w:val="1A165D16"/>
    <w:rsid w:val="1A375E30"/>
    <w:rsid w:val="1A6C3968"/>
    <w:rsid w:val="1A774D65"/>
    <w:rsid w:val="1A7D7923"/>
    <w:rsid w:val="1B256DF7"/>
    <w:rsid w:val="1B3935E5"/>
    <w:rsid w:val="1B3C77DE"/>
    <w:rsid w:val="1B6D1AD6"/>
    <w:rsid w:val="1B7C407F"/>
    <w:rsid w:val="1B9310F4"/>
    <w:rsid w:val="1BD554AE"/>
    <w:rsid w:val="1C0870D8"/>
    <w:rsid w:val="1C1B73F4"/>
    <w:rsid w:val="1C744776"/>
    <w:rsid w:val="1C844F99"/>
    <w:rsid w:val="1C94235E"/>
    <w:rsid w:val="1CAD6893"/>
    <w:rsid w:val="1D4F13D2"/>
    <w:rsid w:val="1D623FD6"/>
    <w:rsid w:val="1D792624"/>
    <w:rsid w:val="1D864D41"/>
    <w:rsid w:val="1DFD4CE4"/>
    <w:rsid w:val="1E091F44"/>
    <w:rsid w:val="1E2D1660"/>
    <w:rsid w:val="1E340C4C"/>
    <w:rsid w:val="1E4238E9"/>
    <w:rsid w:val="1E870D71"/>
    <w:rsid w:val="1EA45889"/>
    <w:rsid w:val="1EA668CD"/>
    <w:rsid w:val="1ECD79B4"/>
    <w:rsid w:val="1EDA17E8"/>
    <w:rsid w:val="1EE61BA7"/>
    <w:rsid w:val="1EEC67B8"/>
    <w:rsid w:val="1F255303"/>
    <w:rsid w:val="1F9A4AD4"/>
    <w:rsid w:val="1FB96722"/>
    <w:rsid w:val="1FCD30FB"/>
    <w:rsid w:val="2001333E"/>
    <w:rsid w:val="204518C1"/>
    <w:rsid w:val="20547378"/>
    <w:rsid w:val="209634ED"/>
    <w:rsid w:val="20E05780"/>
    <w:rsid w:val="210743EB"/>
    <w:rsid w:val="213F1DD6"/>
    <w:rsid w:val="214C62A1"/>
    <w:rsid w:val="216536C7"/>
    <w:rsid w:val="21C14BBC"/>
    <w:rsid w:val="21C8204E"/>
    <w:rsid w:val="21F91F85"/>
    <w:rsid w:val="21FD3B44"/>
    <w:rsid w:val="220730E8"/>
    <w:rsid w:val="22153C27"/>
    <w:rsid w:val="221E7C3E"/>
    <w:rsid w:val="22450B99"/>
    <w:rsid w:val="22576CAC"/>
    <w:rsid w:val="22AE52CE"/>
    <w:rsid w:val="23374F33"/>
    <w:rsid w:val="233D1EA6"/>
    <w:rsid w:val="236A05EE"/>
    <w:rsid w:val="23765637"/>
    <w:rsid w:val="237B0B11"/>
    <w:rsid w:val="237F2849"/>
    <w:rsid w:val="23CA22CA"/>
    <w:rsid w:val="23E12CD1"/>
    <w:rsid w:val="241065B7"/>
    <w:rsid w:val="241C01A6"/>
    <w:rsid w:val="24294678"/>
    <w:rsid w:val="24740A15"/>
    <w:rsid w:val="24890E97"/>
    <w:rsid w:val="253E7682"/>
    <w:rsid w:val="254B1F0D"/>
    <w:rsid w:val="25E116AE"/>
    <w:rsid w:val="25E85331"/>
    <w:rsid w:val="261846D3"/>
    <w:rsid w:val="26372267"/>
    <w:rsid w:val="264D2239"/>
    <w:rsid w:val="265E685B"/>
    <w:rsid w:val="266235BB"/>
    <w:rsid w:val="268F110A"/>
    <w:rsid w:val="26A83F7A"/>
    <w:rsid w:val="26AB5FF5"/>
    <w:rsid w:val="27962358"/>
    <w:rsid w:val="27AB2CDD"/>
    <w:rsid w:val="27B82F2F"/>
    <w:rsid w:val="27F5365D"/>
    <w:rsid w:val="281B4F30"/>
    <w:rsid w:val="28382A4E"/>
    <w:rsid w:val="284B2C3B"/>
    <w:rsid w:val="28537F15"/>
    <w:rsid w:val="288E759E"/>
    <w:rsid w:val="28C16F7B"/>
    <w:rsid w:val="28E55011"/>
    <w:rsid w:val="29B95935"/>
    <w:rsid w:val="29BA4A46"/>
    <w:rsid w:val="29BB5D72"/>
    <w:rsid w:val="29C8592D"/>
    <w:rsid w:val="2A3876D2"/>
    <w:rsid w:val="2A4206B9"/>
    <w:rsid w:val="2A4652C0"/>
    <w:rsid w:val="2A4768FE"/>
    <w:rsid w:val="2A565319"/>
    <w:rsid w:val="2A8C79F3"/>
    <w:rsid w:val="2A9D4D45"/>
    <w:rsid w:val="2AB96756"/>
    <w:rsid w:val="2ACE44D4"/>
    <w:rsid w:val="2AF13D8E"/>
    <w:rsid w:val="2B554653"/>
    <w:rsid w:val="2B604E23"/>
    <w:rsid w:val="2BF17257"/>
    <w:rsid w:val="2BFA318E"/>
    <w:rsid w:val="2C8C50B4"/>
    <w:rsid w:val="2C923702"/>
    <w:rsid w:val="2CB90F29"/>
    <w:rsid w:val="2CC6208C"/>
    <w:rsid w:val="2CE20C16"/>
    <w:rsid w:val="2D2B3ABD"/>
    <w:rsid w:val="2D44660B"/>
    <w:rsid w:val="2D557A1D"/>
    <w:rsid w:val="2D7D2C7F"/>
    <w:rsid w:val="2D947BB5"/>
    <w:rsid w:val="2DD65871"/>
    <w:rsid w:val="2E165C6D"/>
    <w:rsid w:val="2E220E1B"/>
    <w:rsid w:val="2E7D5CEC"/>
    <w:rsid w:val="2E843074"/>
    <w:rsid w:val="2E884DBD"/>
    <w:rsid w:val="2E9E7A19"/>
    <w:rsid w:val="2F147F4C"/>
    <w:rsid w:val="2FA357D7"/>
    <w:rsid w:val="2FB6151A"/>
    <w:rsid w:val="2FE04785"/>
    <w:rsid w:val="2FEE0033"/>
    <w:rsid w:val="30076522"/>
    <w:rsid w:val="30420F9B"/>
    <w:rsid w:val="30926828"/>
    <w:rsid w:val="30C35AAF"/>
    <w:rsid w:val="312E32CE"/>
    <w:rsid w:val="31546E6E"/>
    <w:rsid w:val="315B5369"/>
    <w:rsid w:val="319A6849"/>
    <w:rsid w:val="31A677D0"/>
    <w:rsid w:val="3207424B"/>
    <w:rsid w:val="32700042"/>
    <w:rsid w:val="327D2E9F"/>
    <w:rsid w:val="32D84708"/>
    <w:rsid w:val="33121B7C"/>
    <w:rsid w:val="33287A90"/>
    <w:rsid w:val="33337080"/>
    <w:rsid w:val="33666E2C"/>
    <w:rsid w:val="3436173C"/>
    <w:rsid w:val="344A48C2"/>
    <w:rsid w:val="34514997"/>
    <w:rsid w:val="34586FDF"/>
    <w:rsid w:val="34E671BC"/>
    <w:rsid w:val="34F91184"/>
    <w:rsid w:val="35352D89"/>
    <w:rsid w:val="35BF7EA4"/>
    <w:rsid w:val="35F20D6E"/>
    <w:rsid w:val="35F3174B"/>
    <w:rsid w:val="36377370"/>
    <w:rsid w:val="36A60C2C"/>
    <w:rsid w:val="36B008EF"/>
    <w:rsid w:val="36DF3F29"/>
    <w:rsid w:val="37080E79"/>
    <w:rsid w:val="37AA58FD"/>
    <w:rsid w:val="37B55FB7"/>
    <w:rsid w:val="37CB5DFD"/>
    <w:rsid w:val="380F5D40"/>
    <w:rsid w:val="381A4921"/>
    <w:rsid w:val="382149FC"/>
    <w:rsid w:val="382C2FC0"/>
    <w:rsid w:val="38A50A20"/>
    <w:rsid w:val="38B66718"/>
    <w:rsid w:val="38C06F01"/>
    <w:rsid w:val="38E44EDE"/>
    <w:rsid w:val="39077108"/>
    <w:rsid w:val="39240C78"/>
    <w:rsid w:val="39521B93"/>
    <w:rsid w:val="39F71747"/>
    <w:rsid w:val="3A012C10"/>
    <w:rsid w:val="3A2F2590"/>
    <w:rsid w:val="3A443B62"/>
    <w:rsid w:val="3A7E0E22"/>
    <w:rsid w:val="3A7E763E"/>
    <w:rsid w:val="3A8377AB"/>
    <w:rsid w:val="3A9C399E"/>
    <w:rsid w:val="3AC21DBF"/>
    <w:rsid w:val="3B0C28D2"/>
    <w:rsid w:val="3B6B7255"/>
    <w:rsid w:val="3B8B05DE"/>
    <w:rsid w:val="3BD17677"/>
    <w:rsid w:val="3BE66B87"/>
    <w:rsid w:val="3C060EF7"/>
    <w:rsid w:val="3C3579D0"/>
    <w:rsid w:val="3C6F162B"/>
    <w:rsid w:val="3CA77E9F"/>
    <w:rsid w:val="3CD4741F"/>
    <w:rsid w:val="3D0621F0"/>
    <w:rsid w:val="3D3D68A5"/>
    <w:rsid w:val="3D424389"/>
    <w:rsid w:val="3D5B18EE"/>
    <w:rsid w:val="3D9945A0"/>
    <w:rsid w:val="3DE47B36"/>
    <w:rsid w:val="3DEE7D5D"/>
    <w:rsid w:val="3E594AB8"/>
    <w:rsid w:val="3E6C2B80"/>
    <w:rsid w:val="3EA34764"/>
    <w:rsid w:val="3EAF29BA"/>
    <w:rsid w:val="3EEE0374"/>
    <w:rsid w:val="3F035D9A"/>
    <w:rsid w:val="3F1C0CD7"/>
    <w:rsid w:val="3F6E6D4B"/>
    <w:rsid w:val="3F8773B7"/>
    <w:rsid w:val="3F943EE0"/>
    <w:rsid w:val="3FF320CE"/>
    <w:rsid w:val="406960D0"/>
    <w:rsid w:val="407B36C1"/>
    <w:rsid w:val="40A630A9"/>
    <w:rsid w:val="40B0233F"/>
    <w:rsid w:val="40CB1921"/>
    <w:rsid w:val="416C06CB"/>
    <w:rsid w:val="41886A2A"/>
    <w:rsid w:val="41BD0482"/>
    <w:rsid w:val="41EA1493"/>
    <w:rsid w:val="41ED1A22"/>
    <w:rsid w:val="42114379"/>
    <w:rsid w:val="429F32D2"/>
    <w:rsid w:val="42AC05DB"/>
    <w:rsid w:val="42DE0FF8"/>
    <w:rsid w:val="42EB54C2"/>
    <w:rsid w:val="42F56341"/>
    <w:rsid w:val="430F11B1"/>
    <w:rsid w:val="43104F29"/>
    <w:rsid w:val="43457418"/>
    <w:rsid w:val="434652EE"/>
    <w:rsid w:val="434849C8"/>
    <w:rsid w:val="434B7D0F"/>
    <w:rsid w:val="43623E67"/>
    <w:rsid w:val="43845141"/>
    <w:rsid w:val="438A6373"/>
    <w:rsid w:val="43BD7590"/>
    <w:rsid w:val="43CE766B"/>
    <w:rsid w:val="43E97A67"/>
    <w:rsid w:val="441C16E5"/>
    <w:rsid w:val="443278B6"/>
    <w:rsid w:val="44657C15"/>
    <w:rsid w:val="4487534D"/>
    <w:rsid w:val="44DB0570"/>
    <w:rsid w:val="44EE3048"/>
    <w:rsid w:val="453A0B44"/>
    <w:rsid w:val="453A7C18"/>
    <w:rsid w:val="45921C25"/>
    <w:rsid w:val="45962262"/>
    <w:rsid w:val="45AB21E9"/>
    <w:rsid w:val="45D264C6"/>
    <w:rsid w:val="45E91EBA"/>
    <w:rsid w:val="460E4FDA"/>
    <w:rsid w:val="46357180"/>
    <w:rsid w:val="465A6BE7"/>
    <w:rsid w:val="46603AD2"/>
    <w:rsid w:val="46C338D9"/>
    <w:rsid w:val="46CB51DB"/>
    <w:rsid w:val="46E40CBF"/>
    <w:rsid w:val="46EB2C94"/>
    <w:rsid w:val="47003456"/>
    <w:rsid w:val="47070376"/>
    <w:rsid w:val="4716388B"/>
    <w:rsid w:val="47181052"/>
    <w:rsid w:val="473E5702"/>
    <w:rsid w:val="475F5004"/>
    <w:rsid w:val="476373D4"/>
    <w:rsid w:val="47743CD8"/>
    <w:rsid w:val="47770B43"/>
    <w:rsid w:val="47B16CDB"/>
    <w:rsid w:val="47B24801"/>
    <w:rsid w:val="47B51E7B"/>
    <w:rsid w:val="47B745D4"/>
    <w:rsid w:val="47FC5A7C"/>
    <w:rsid w:val="48BA79E8"/>
    <w:rsid w:val="48C4659A"/>
    <w:rsid w:val="49297E48"/>
    <w:rsid w:val="495042D1"/>
    <w:rsid w:val="49712499"/>
    <w:rsid w:val="49892771"/>
    <w:rsid w:val="499A379E"/>
    <w:rsid w:val="49AD7E2A"/>
    <w:rsid w:val="49AE2DA6"/>
    <w:rsid w:val="49C12A7C"/>
    <w:rsid w:val="4A041EB9"/>
    <w:rsid w:val="4A365275"/>
    <w:rsid w:val="4A603E37"/>
    <w:rsid w:val="4AE579E0"/>
    <w:rsid w:val="4AE61C2A"/>
    <w:rsid w:val="4B593EE5"/>
    <w:rsid w:val="4B636FE6"/>
    <w:rsid w:val="4B680126"/>
    <w:rsid w:val="4B6B71A0"/>
    <w:rsid w:val="4B9D6887"/>
    <w:rsid w:val="4BA076A5"/>
    <w:rsid w:val="4BA10E14"/>
    <w:rsid w:val="4BC946FB"/>
    <w:rsid w:val="4BD7284A"/>
    <w:rsid w:val="4BFC724D"/>
    <w:rsid w:val="4C0D2006"/>
    <w:rsid w:val="4C3677AE"/>
    <w:rsid w:val="4C5C685B"/>
    <w:rsid w:val="4C8D179C"/>
    <w:rsid w:val="4CE216E4"/>
    <w:rsid w:val="4CF84A64"/>
    <w:rsid w:val="4D2E492A"/>
    <w:rsid w:val="4D502014"/>
    <w:rsid w:val="4D5A14AA"/>
    <w:rsid w:val="4D5D6FBD"/>
    <w:rsid w:val="4D602609"/>
    <w:rsid w:val="4D6B0822"/>
    <w:rsid w:val="4D77007F"/>
    <w:rsid w:val="4D85256E"/>
    <w:rsid w:val="4DD3727F"/>
    <w:rsid w:val="4E1A5EA5"/>
    <w:rsid w:val="4E577EB0"/>
    <w:rsid w:val="4EB30118"/>
    <w:rsid w:val="4F043B94"/>
    <w:rsid w:val="4F0B0912"/>
    <w:rsid w:val="4FBC2D69"/>
    <w:rsid w:val="4FC3635A"/>
    <w:rsid w:val="5046087F"/>
    <w:rsid w:val="504B393E"/>
    <w:rsid w:val="505E42A4"/>
    <w:rsid w:val="50C25AB5"/>
    <w:rsid w:val="50D70E34"/>
    <w:rsid w:val="50F626E2"/>
    <w:rsid w:val="51233278"/>
    <w:rsid w:val="513854D9"/>
    <w:rsid w:val="517D1761"/>
    <w:rsid w:val="51905BB3"/>
    <w:rsid w:val="51F373B0"/>
    <w:rsid w:val="51F6388F"/>
    <w:rsid w:val="51FC6DA4"/>
    <w:rsid w:val="522966AB"/>
    <w:rsid w:val="523747F9"/>
    <w:rsid w:val="52650414"/>
    <w:rsid w:val="52C069DC"/>
    <w:rsid w:val="52C7496B"/>
    <w:rsid w:val="53190F89"/>
    <w:rsid w:val="53485707"/>
    <w:rsid w:val="5354229B"/>
    <w:rsid w:val="537D3865"/>
    <w:rsid w:val="53B07713"/>
    <w:rsid w:val="540B32CF"/>
    <w:rsid w:val="540C23E1"/>
    <w:rsid w:val="541E4435"/>
    <w:rsid w:val="543B560F"/>
    <w:rsid w:val="544F375C"/>
    <w:rsid w:val="54F226E1"/>
    <w:rsid w:val="551750D6"/>
    <w:rsid w:val="557C375D"/>
    <w:rsid w:val="55BE0111"/>
    <w:rsid w:val="56085E8D"/>
    <w:rsid w:val="562A3D0E"/>
    <w:rsid w:val="56792384"/>
    <w:rsid w:val="568630E0"/>
    <w:rsid w:val="56AA21BA"/>
    <w:rsid w:val="56D93B58"/>
    <w:rsid w:val="56DF0A43"/>
    <w:rsid w:val="570304FE"/>
    <w:rsid w:val="571A38FD"/>
    <w:rsid w:val="573105FC"/>
    <w:rsid w:val="57517B92"/>
    <w:rsid w:val="576D42A0"/>
    <w:rsid w:val="57751A9C"/>
    <w:rsid w:val="577B076B"/>
    <w:rsid w:val="57D97FC9"/>
    <w:rsid w:val="57ED033C"/>
    <w:rsid w:val="57EF5D6B"/>
    <w:rsid w:val="58052553"/>
    <w:rsid w:val="581E112C"/>
    <w:rsid w:val="581F22F6"/>
    <w:rsid w:val="58243207"/>
    <w:rsid w:val="58612600"/>
    <w:rsid w:val="58650145"/>
    <w:rsid w:val="58B331A5"/>
    <w:rsid w:val="58E47D5C"/>
    <w:rsid w:val="59933A94"/>
    <w:rsid w:val="5999137D"/>
    <w:rsid w:val="59A30C9C"/>
    <w:rsid w:val="59D77D79"/>
    <w:rsid w:val="5A0D3672"/>
    <w:rsid w:val="5A2177D1"/>
    <w:rsid w:val="5A33788D"/>
    <w:rsid w:val="5A4A48B2"/>
    <w:rsid w:val="5A4D48C5"/>
    <w:rsid w:val="5A646D18"/>
    <w:rsid w:val="5A764C08"/>
    <w:rsid w:val="5A9E60EB"/>
    <w:rsid w:val="5AA67010"/>
    <w:rsid w:val="5ADC74C1"/>
    <w:rsid w:val="5B101DAC"/>
    <w:rsid w:val="5B2B7E80"/>
    <w:rsid w:val="5B303F63"/>
    <w:rsid w:val="5B3C6463"/>
    <w:rsid w:val="5B481FCB"/>
    <w:rsid w:val="5B5567F3"/>
    <w:rsid w:val="5B5E178C"/>
    <w:rsid w:val="5B620303"/>
    <w:rsid w:val="5BB52414"/>
    <w:rsid w:val="5BE152F7"/>
    <w:rsid w:val="5BE93083"/>
    <w:rsid w:val="5C036F81"/>
    <w:rsid w:val="5C22154E"/>
    <w:rsid w:val="5C243810"/>
    <w:rsid w:val="5C8207EE"/>
    <w:rsid w:val="5C912FBD"/>
    <w:rsid w:val="5D1F603D"/>
    <w:rsid w:val="5D4F0D38"/>
    <w:rsid w:val="5D6055CF"/>
    <w:rsid w:val="5D8A5BAC"/>
    <w:rsid w:val="5D9C0EA2"/>
    <w:rsid w:val="5DB64B86"/>
    <w:rsid w:val="5DC0337C"/>
    <w:rsid w:val="5DFC350C"/>
    <w:rsid w:val="5E0B75C8"/>
    <w:rsid w:val="5E512F08"/>
    <w:rsid w:val="5E826883"/>
    <w:rsid w:val="5EE74938"/>
    <w:rsid w:val="5F0D76D3"/>
    <w:rsid w:val="5F41673E"/>
    <w:rsid w:val="5FAD5B82"/>
    <w:rsid w:val="5FBF70CE"/>
    <w:rsid w:val="5FD9212E"/>
    <w:rsid w:val="60636002"/>
    <w:rsid w:val="60D948E2"/>
    <w:rsid w:val="60EA0735"/>
    <w:rsid w:val="60F95487"/>
    <w:rsid w:val="61295F97"/>
    <w:rsid w:val="61531650"/>
    <w:rsid w:val="618E574C"/>
    <w:rsid w:val="61F93694"/>
    <w:rsid w:val="62892CB9"/>
    <w:rsid w:val="629B657A"/>
    <w:rsid w:val="632411E5"/>
    <w:rsid w:val="63451732"/>
    <w:rsid w:val="63815050"/>
    <w:rsid w:val="63891590"/>
    <w:rsid w:val="643C1EFF"/>
    <w:rsid w:val="64681F4C"/>
    <w:rsid w:val="64892393"/>
    <w:rsid w:val="64A82A4B"/>
    <w:rsid w:val="64C45AAF"/>
    <w:rsid w:val="64E33DF4"/>
    <w:rsid w:val="64F705E0"/>
    <w:rsid w:val="65240D88"/>
    <w:rsid w:val="652E144C"/>
    <w:rsid w:val="65A6554D"/>
    <w:rsid w:val="65E01AEC"/>
    <w:rsid w:val="65E2470E"/>
    <w:rsid w:val="66044022"/>
    <w:rsid w:val="662F26B6"/>
    <w:rsid w:val="665705F5"/>
    <w:rsid w:val="669C2AD2"/>
    <w:rsid w:val="66C57C55"/>
    <w:rsid w:val="67535261"/>
    <w:rsid w:val="67790F4E"/>
    <w:rsid w:val="67B577D6"/>
    <w:rsid w:val="67BD6B7E"/>
    <w:rsid w:val="67C16124"/>
    <w:rsid w:val="67F73E3E"/>
    <w:rsid w:val="684B23DC"/>
    <w:rsid w:val="685E179E"/>
    <w:rsid w:val="68A05CA0"/>
    <w:rsid w:val="68DE61D1"/>
    <w:rsid w:val="68F62276"/>
    <w:rsid w:val="6912531D"/>
    <w:rsid w:val="691722BE"/>
    <w:rsid w:val="69441D35"/>
    <w:rsid w:val="69A46E04"/>
    <w:rsid w:val="69A63060"/>
    <w:rsid w:val="69F3693C"/>
    <w:rsid w:val="6A334FF2"/>
    <w:rsid w:val="6A6B0B13"/>
    <w:rsid w:val="6AA27AC6"/>
    <w:rsid w:val="6AC1385B"/>
    <w:rsid w:val="6B0074AE"/>
    <w:rsid w:val="6B0A20DA"/>
    <w:rsid w:val="6B1A5F23"/>
    <w:rsid w:val="6B38456F"/>
    <w:rsid w:val="6B4849B1"/>
    <w:rsid w:val="6B741C4A"/>
    <w:rsid w:val="6BB452B7"/>
    <w:rsid w:val="6BB94EE5"/>
    <w:rsid w:val="6BF44EAF"/>
    <w:rsid w:val="6C8D27C6"/>
    <w:rsid w:val="6C97174C"/>
    <w:rsid w:val="6CF46F1B"/>
    <w:rsid w:val="6CFA1CDB"/>
    <w:rsid w:val="6D3D4FA8"/>
    <w:rsid w:val="6D7B72BF"/>
    <w:rsid w:val="6DA04323"/>
    <w:rsid w:val="6DD810E6"/>
    <w:rsid w:val="6DF761A1"/>
    <w:rsid w:val="6E436DC2"/>
    <w:rsid w:val="6E8D7E8A"/>
    <w:rsid w:val="6EA2262A"/>
    <w:rsid w:val="6EDC10B2"/>
    <w:rsid w:val="6EE24561"/>
    <w:rsid w:val="6EEE1D7F"/>
    <w:rsid w:val="6F1C5688"/>
    <w:rsid w:val="6F3D524A"/>
    <w:rsid w:val="6F500FA7"/>
    <w:rsid w:val="6F593630"/>
    <w:rsid w:val="6F7821B4"/>
    <w:rsid w:val="6FA04DBB"/>
    <w:rsid w:val="707431B0"/>
    <w:rsid w:val="70D2059C"/>
    <w:rsid w:val="710F1BEA"/>
    <w:rsid w:val="713F0604"/>
    <w:rsid w:val="717007BD"/>
    <w:rsid w:val="7184050E"/>
    <w:rsid w:val="72030716"/>
    <w:rsid w:val="72833F17"/>
    <w:rsid w:val="72E84A01"/>
    <w:rsid w:val="73A17354"/>
    <w:rsid w:val="73C043CE"/>
    <w:rsid w:val="73DC213A"/>
    <w:rsid w:val="73E718CB"/>
    <w:rsid w:val="73F97190"/>
    <w:rsid w:val="740A7E65"/>
    <w:rsid w:val="74AF459F"/>
    <w:rsid w:val="74C74B98"/>
    <w:rsid w:val="751B1C44"/>
    <w:rsid w:val="75295855"/>
    <w:rsid w:val="75A71A11"/>
    <w:rsid w:val="75B50E95"/>
    <w:rsid w:val="75C31803"/>
    <w:rsid w:val="75EA3234"/>
    <w:rsid w:val="75FD70B6"/>
    <w:rsid w:val="76060EA0"/>
    <w:rsid w:val="76627A62"/>
    <w:rsid w:val="768F76A2"/>
    <w:rsid w:val="769076F7"/>
    <w:rsid w:val="76C3035D"/>
    <w:rsid w:val="76F854DD"/>
    <w:rsid w:val="77170D7C"/>
    <w:rsid w:val="77300CA5"/>
    <w:rsid w:val="773D55E5"/>
    <w:rsid w:val="77827C43"/>
    <w:rsid w:val="77F458D9"/>
    <w:rsid w:val="77F55EC0"/>
    <w:rsid w:val="780C3ED1"/>
    <w:rsid w:val="78222F75"/>
    <w:rsid w:val="782F3180"/>
    <w:rsid w:val="783E2636"/>
    <w:rsid w:val="787E4E02"/>
    <w:rsid w:val="78B53947"/>
    <w:rsid w:val="78EA150B"/>
    <w:rsid w:val="793547C6"/>
    <w:rsid w:val="794906A4"/>
    <w:rsid w:val="79864DDA"/>
    <w:rsid w:val="79902B6F"/>
    <w:rsid w:val="79A11E5C"/>
    <w:rsid w:val="79AB43D5"/>
    <w:rsid w:val="79F93B2D"/>
    <w:rsid w:val="7A1E525A"/>
    <w:rsid w:val="7A41719B"/>
    <w:rsid w:val="7A615C1B"/>
    <w:rsid w:val="7A984BA3"/>
    <w:rsid w:val="7A9E639B"/>
    <w:rsid w:val="7A9F0618"/>
    <w:rsid w:val="7AAD2A82"/>
    <w:rsid w:val="7ABC5E25"/>
    <w:rsid w:val="7ABE6730"/>
    <w:rsid w:val="7AC02714"/>
    <w:rsid w:val="7AF97A75"/>
    <w:rsid w:val="7B5573A2"/>
    <w:rsid w:val="7B5D57C7"/>
    <w:rsid w:val="7B622B11"/>
    <w:rsid w:val="7B680E72"/>
    <w:rsid w:val="7C0E57A2"/>
    <w:rsid w:val="7C3A697F"/>
    <w:rsid w:val="7C691D58"/>
    <w:rsid w:val="7C7A614F"/>
    <w:rsid w:val="7CE30F93"/>
    <w:rsid w:val="7CF86C5B"/>
    <w:rsid w:val="7D691FE8"/>
    <w:rsid w:val="7DBE2F74"/>
    <w:rsid w:val="7DC86E40"/>
    <w:rsid w:val="7DD51556"/>
    <w:rsid w:val="7E1D3E9D"/>
    <w:rsid w:val="7E9E7D21"/>
    <w:rsid w:val="7EA6677E"/>
    <w:rsid w:val="7ED72672"/>
    <w:rsid w:val="7ED7295A"/>
    <w:rsid w:val="7EEE0C91"/>
    <w:rsid w:val="7EF813A2"/>
    <w:rsid w:val="7F1430D0"/>
    <w:rsid w:val="7F1B445E"/>
    <w:rsid w:val="7F3948E4"/>
    <w:rsid w:val="7F570E2A"/>
    <w:rsid w:val="7F5B0CFF"/>
    <w:rsid w:val="7F5D6C1D"/>
    <w:rsid w:val="7F740BE1"/>
    <w:rsid w:val="7F8F6BFA"/>
    <w:rsid w:val="7FA77AA0"/>
    <w:rsid w:val="7FB143BF"/>
    <w:rsid w:val="7FB81CAD"/>
    <w:rsid w:val="7FB873FD"/>
    <w:rsid w:val="7FE6669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qFormat="1" w:unhideWhenUsed="0" w:uiPriority="0" w:semiHidden="0" w:name="index 1"/>
    <w:lsdException w:uiPriority="99" w:name="index 2"/>
    <w:lsdException w:uiPriority="99" w:name="index 3"/>
    <w:lsdException w:qFormat="1" w:unhideWhenUsed="0" w:uiPriority="0" w:semiHidden="0" w:name="index 4"/>
    <w:lsdException w:uiPriority="99" w:name="index 5"/>
    <w:lsdException w:uiPriority="99" w:name="index 6"/>
    <w:lsdException w:uiPriority="99" w:name="index 7"/>
    <w:lsdException w:uiPriority="99" w:name="index 8"/>
    <w:lsdException w:uiPriority="99" w:name="index 9"/>
    <w:lsdException w:qFormat="1" w:unhideWhenUsed="0" w:uiPriority="39" w:semiHidden="0" w:name="toc 1"/>
    <w:lsdException w:qFormat="1" w:unhideWhenUsed="0" w:uiPriority="39" w:semiHidden="0" w:name="toc 2"/>
    <w:lsdException w:qFormat="1" w:unhideWhenUsed="0" w:uiPriority="39" w:semiHidden="0" w:name="toc 3"/>
    <w:lsdException w:qFormat="1" w:unhideWhenUsed="0" w:uiPriority="39" w:semiHidden="0" w:name="toc 4"/>
    <w:lsdException w:qFormat="1" w:unhideWhenUsed="0" w:uiPriority="39" w:semiHidden="0" w:name="toc 5"/>
    <w:lsdException w:qFormat="1" w:unhideWhenUsed="0" w:uiPriority="39" w:semiHidden="0" w:name="toc 6"/>
    <w:lsdException w:qFormat="1" w:unhideWhenUsed="0" w:uiPriority="39" w:semiHidden="0" w:name="toc 7"/>
    <w:lsdException w:qFormat="1" w:unhideWhenUsed="0" w:uiPriority="39" w:semiHidden="0" w:name="toc 8"/>
    <w:lsdException w:qFormat="1" w:unhideWhenUsed="0" w:uiPriority="39" w:semiHidden="0" w:name="toc 9"/>
    <w:lsdException w:qFormat="1" w:unhideWhenUsed="0" w:uiPriority="0" w:semiHidden="0" w:name="Normal Indent"/>
    <w:lsdException w:qFormat="1" w:unhideWhenUsed="0" w:uiPriority="0" w:semiHidden="0" w:name="footnote text"/>
    <w:lsdException w:qFormat="1" w:uiPriority="99" w:semiHidden="0" w:name="annotation text"/>
    <w:lsdException w:qFormat="1" w:uiPriority="0" w:semiHidden="0" w:name="header"/>
    <w:lsdException w:qFormat="1" w:uiPriority="0" w:semiHidden="0" w:name="footer"/>
    <w:lsdException w:uiPriority="99" w:name="index heading"/>
    <w:lsdException w:qFormat="1" w:unhideWhenUsed="0" w:uiPriority="0" w:semiHidden="0" w:name="caption"/>
    <w:lsdException w:uiPriority="99" w:name="table of figures"/>
    <w:lsdException w:uiPriority="99" w:name="envelope address"/>
    <w:lsdException w:qFormat="1" w:uiPriority="99" w:semiHidden="0" w:name="envelope return"/>
    <w:lsdException w:qFormat="1" w:unhideWhenUsed="0" w:uiPriority="0" w:semiHidden="0" w:name="footnote reference"/>
    <w:lsdException w:qFormat="1" w:unhideWhenUsed="0" w:uiPriority="0" w:semiHidden="0" w:name="annotation reference"/>
    <w:lsdException w:uiPriority="99" w:name="line number"/>
    <w:lsdException w:qFormat="1" w:unhideWhenUsed="0" w:uiPriority="0" w:semiHidden="0" w:name="page number"/>
    <w:lsdException w:qFormat="1" w:unhideWhenUsed="0" w:uiPriority="0" w:semiHidden="0" w:name="endnote reference"/>
    <w:lsdException w:qFormat="1" w:unhideWhenUsed="0" w:uiPriority="0" w:semiHidden="0" w:name="endnote text"/>
    <w:lsdException w:uiPriority="99" w:name="table of authorities"/>
    <w:lsdException w:uiPriority="99" w:name="macro"/>
    <w:lsdException w:uiPriority="99" w:name="toa heading"/>
    <w:lsdException w:uiPriority="0"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qFormat="1" w:unhideWhenUsed="0" w:uiPriority="0" w:semiHidden="0" w:name="Body Text"/>
    <w:lsdException w:qFormat="1" w:unhideWhenUsed="0" w:uiPriority="0" w:semiHidden="0" w:name="Body Text Indent"/>
    <w:lsdException w:uiPriority="99" w:name="List Continue"/>
    <w:lsdException w:uiPriority="0"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sdException w:uiPriority="99" w:name="Salutation"/>
    <w:lsdException w:qFormat="1" w:unhideWhenUsed="0" w:uiPriority="0" w:semiHidden="0" w:name="Date"/>
    <w:lsdException w:qFormat="1" w:unhideWhenUsed="0" w:uiPriority="0" w:semiHidden="0" w:name="Body Text First Indent"/>
    <w:lsdException w:qFormat="1" w:unhideWhenUsed="0" w:uiPriority="0" w:semiHidden="0" w:name="Body Text First Indent 2"/>
    <w:lsdException w:uiPriority="99" w:name="Note Heading"/>
    <w:lsdException w:qFormat="1" w:unhideWhenUsed="0" w:uiPriority="0" w:semiHidden="0" w:name="Body Text 2"/>
    <w:lsdException w:qFormat="1" w:unhideWhenUsed="0" w:uiPriority="0" w:semiHidden="0" w:name="Body Text 3"/>
    <w:lsdException w:qFormat="1" w:unhideWhenUsed="0" w:uiPriority="0" w:semiHidden="0" w:name="Body Text Indent 2"/>
    <w:lsdException w:qFormat="1" w:unhideWhenUsed="0" w:uiPriority="0" w:semiHidden="0" w:name="Body Text Indent 3"/>
    <w:lsdException w:qFormat="1" w:unhideWhenUsed="0" w:uiPriority="0" w:semiHidden="0" w:name="Block Text"/>
    <w:lsdException w:qFormat="1" w:unhideWhenUsed="0" w:uiPriority="99"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qFormat="1" w:unhideWhenUsed="0" w:uiPriority="0" w:semiHidden="0" w:name="Document Map"/>
    <w:lsdException w:qFormat="1" w:unhideWhenUsed="0" w:uiPriority="0" w:semiHidden="0" w:name="Plain Text"/>
    <w:lsdException w:uiPriority="99" w:name="E-mail Signature"/>
    <w:lsdException w:qFormat="1"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qFormat="1" w:uiPriority="0" w:semiHidden="0" w:name="HTML Preformatted"/>
    <w:lsdException w:uiPriority="99" w:name="HTML Sample"/>
    <w:lsdException w:uiPriority="99" w:name="HTML Typewriter"/>
    <w:lsdException w:uiPriority="99" w:name="HTML Variable"/>
    <w:lsdException w:qFormat="1" w:uiPriority="99" w:name="Normal Table"/>
    <w:lsdException w:qFormat="1" w:unhideWhenUsed="0" w:uiPriority="0"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semiHidden="0" w:name="Balloon Text"/>
    <w:lsdException w:qFormat="1" w:uiPriority="59"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0" w:semiHidden="0" w:name="List Paragraph"/>
    <w:lsdException w:qFormat="1" w:unhideWhenUsed="0" w:uiPriority="0" w:semiHidden="0" w:name="Quote"/>
    <w:lsdException w:qFormat="1" w:unhideWhenUsed="0" w:uiPriority="0" w:semiHidden="0" w:name="Intense 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3">
    <w:name w:val="heading 1"/>
    <w:basedOn w:val="1"/>
    <w:next w:val="1"/>
    <w:link w:val="59"/>
    <w:qFormat/>
    <w:uiPriority w:val="0"/>
    <w:pPr>
      <w:keepNext/>
      <w:keepLines/>
      <w:spacing w:before="340" w:after="330" w:line="576" w:lineRule="auto"/>
      <w:outlineLvl w:val="0"/>
    </w:pPr>
    <w:rPr>
      <w:b/>
      <w:bCs/>
      <w:kern w:val="44"/>
      <w:sz w:val="44"/>
      <w:szCs w:val="44"/>
    </w:rPr>
  </w:style>
  <w:style w:type="paragraph" w:styleId="4">
    <w:name w:val="heading 2"/>
    <w:basedOn w:val="1"/>
    <w:next w:val="1"/>
    <w:link w:val="422"/>
    <w:qFormat/>
    <w:uiPriority w:val="0"/>
    <w:pPr>
      <w:autoSpaceDE w:val="0"/>
      <w:autoSpaceDN w:val="0"/>
      <w:adjustRightInd w:val="0"/>
      <w:snapToGrid w:val="0"/>
      <w:spacing w:line="360" w:lineRule="auto"/>
      <w:jc w:val="left"/>
      <w:outlineLvl w:val="1"/>
    </w:pPr>
    <w:rPr>
      <w:rFonts w:ascii="仿宋_GB2312" w:eastAsia="仿宋_GB2312"/>
      <w:b/>
      <w:spacing w:val="1"/>
      <w:w w:val="99"/>
      <w:kern w:val="0"/>
      <w:sz w:val="28"/>
      <w:szCs w:val="32"/>
    </w:rPr>
  </w:style>
  <w:style w:type="paragraph" w:styleId="5">
    <w:name w:val="heading 3"/>
    <w:basedOn w:val="1"/>
    <w:next w:val="1"/>
    <w:link w:val="88"/>
    <w:qFormat/>
    <w:uiPriority w:val="0"/>
    <w:pPr>
      <w:autoSpaceDE w:val="0"/>
      <w:autoSpaceDN w:val="0"/>
      <w:adjustRightInd w:val="0"/>
      <w:spacing w:before="16"/>
      <w:jc w:val="left"/>
      <w:outlineLvl w:val="2"/>
    </w:pPr>
    <w:rPr>
      <w:rFonts w:ascii="仿宋_GB2312" w:eastAsia="仿宋_GB2312"/>
      <w:b/>
      <w:kern w:val="0"/>
      <w:sz w:val="24"/>
      <w:szCs w:val="28"/>
    </w:rPr>
  </w:style>
  <w:style w:type="paragraph" w:styleId="6">
    <w:name w:val="heading 4"/>
    <w:basedOn w:val="1"/>
    <w:next w:val="1"/>
    <w:link w:val="90"/>
    <w:qFormat/>
    <w:uiPriority w:val="0"/>
    <w:pPr>
      <w:jc w:val="center"/>
      <w:outlineLvl w:val="3"/>
    </w:pPr>
  </w:style>
  <w:style w:type="paragraph" w:styleId="7">
    <w:name w:val="heading 5"/>
    <w:basedOn w:val="1"/>
    <w:next w:val="1"/>
    <w:link w:val="91"/>
    <w:qFormat/>
    <w:uiPriority w:val="0"/>
    <w:pPr>
      <w:widowControl/>
      <w:spacing w:before="100" w:beforeAutospacing="1" w:after="100" w:afterAutospacing="1"/>
      <w:jc w:val="left"/>
      <w:outlineLvl w:val="4"/>
    </w:pPr>
    <w:rPr>
      <w:rFonts w:ascii="宋体" w:hAnsi="宋体"/>
      <w:b/>
      <w:bCs/>
      <w:kern w:val="0"/>
      <w:sz w:val="20"/>
      <w:szCs w:val="20"/>
    </w:rPr>
  </w:style>
  <w:style w:type="paragraph" w:styleId="8">
    <w:name w:val="heading 6"/>
    <w:basedOn w:val="9"/>
    <w:next w:val="1"/>
    <w:link w:val="63"/>
    <w:qFormat/>
    <w:uiPriority w:val="0"/>
    <w:pPr>
      <w:keepNext/>
      <w:keepLines/>
      <w:ind w:firstLine="200" w:firstLineChars="200"/>
      <w:outlineLvl w:val="5"/>
    </w:pPr>
    <w:rPr>
      <w:rFonts w:hAnsi="Arial"/>
    </w:rPr>
  </w:style>
  <w:style w:type="paragraph" w:styleId="10">
    <w:name w:val="heading 7"/>
    <w:basedOn w:val="1"/>
    <w:next w:val="1"/>
    <w:link w:val="92"/>
    <w:qFormat/>
    <w:uiPriority w:val="0"/>
    <w:pPr>
      <w:keepNext/>
      <w:keepLines/>
      <w:adjustRightInd w:val="0"/>
      <w:spacing w:line="480" w:lineRule="atLeast"/>
      <w:ind w:left="1425" w:leftChars="175" w:hanging="900" w:hangingChars="300"/>
      <w:textAlignment w:val="baseline"/>
      <w:outlineLvl w:val="6"/>
    </w:pPr>
    <w:rPr>
      <w:rFonts w:eastAsia="仿宋_GB2312"/>
      <w:kern w:val="0"/>
      <w:sz w:val="30"/>
      <w:szCs w:val="20"/>
    </w:rPr>
  </w:style>
  <w:style w:type="paragraph" w:styleId="11">
    <w:name w:val="heading 8"/>
    <w:basedOn w:val="1"/>
    <w:next w:val="1"/>
    <w:link w:val="65"/>
    <w:qFormat/>
    <w:uiPriority w:val="0"/>
    <w:pPr>
      <w:adjustRightInd w:val="0"/>
      <w:spacing w:line="480" w:lineRule="atLeast"/>
      <w:ind w:left="2232" w:leftChars="450" w:hanging="882" w:hangingChars="294"/>
      <w:textAlignment w:val="baseline"/>
      <w:outlineLvl w:val="7"/>
    </w:pPr>
    <w:rPr>
      <w:rFonts w:hAnsi="Arial" w:eastAsia="仿宋_GB2312"/>
      <w:kern w:val="0"/>
      <w:sz w:val="30"/>
      <w:szCs w:val="20"/>
    </w:rPr>
  </w:style>
  <w:style w:type="paragraph" w:styleId="12">
    <w:name w:val="heading 9"/>
    <w:basedOn w:val="1"/>
    <w:next w:val="1"/>
    <w:link w:val="93"/>
    <w:qFormat/>
    <w:uiPriority w:val="0"/>
    <w:pPr>
      <w:keepNext/>
      <w:keepLines/>
      <w:adjustRightInd w:val="0"/>
      <w:spacing w:line="480" w:lineRule="atLeast"/>
      <w:ind w:left="2979" w:leftChars="715" w:hanging="834" w:hangingChars="278"/>
      <w:textAlignment w:val="baseline"/>
      <w:outlineLvl w:val="8"/>
    </w:pPr>
    <w:rPr>
      <w:rFonts w:eastAsia="仿宋_GB2312"/>
      <w:kern w:val="0"/>
      <w:sz w:val="30"/>
      <w:szCs w:val="20"/>
    </w:rPr>
  </w:style>
  <w:style w:type="character" w:default="1" w:styleId="49">
    <w:name w:val="Default Paragraph Font"/>
    <w:semiHidden/>
    <w:unhideWhenUsed/>
    <w:qFormat/>
    <w:uiPriority w:val="1"/>
  </w:style>
  <w:style w:type="table" w:default="1" w:styleId="48">
    <w:name w:val="Normal Table"/>
    <w:semiHidden/>
    <w:unhideWhenUsed/>
    <w:qFormat/>
    <w:uiPriority w:val="99"/>
    <w:tblPr>
      <w:tblCellMar>
        <w:top w:w="0" w:type="dxa"/>
        <w:left w:w="108" w:type="dxa"/>
        <w:bottom w:w="0" w:type="dxa"/>
        <w:right w:w="108" w:type="dxa"/>
      </w:tblCellMar>
    </w:tblPr>
  </w:style>
  <w:style w:type="paragraph" w:styleId="2">
    <w:name w:val="Body Text"/>
    <w:basedOn w:val="1"/>
    <w:next w:val="1"/>
    <w:link w:val="70"/>
    <w:qFormat/>
    <w:uiPriority w:val="0"/>
    <w:pPr>
      <w:spacing w:after="120"/>
    </w:pPr>
    <w:rPr>
      <w:rFonts w:ascii="Calibri" w:hAnsi="Calibri"/>
      <w:kern w:val="0"/>
      <w:sz w:val="20"/>
    </w:rPr>
  </w:style>
  <w:style w:type="paragraph" w:styleId="9">
    <w:name w:val="Normal Indent"/>
    <w:basedOn w:val="1"/>
    <w:qFormat/>
    <w:uiPriority w:val="0"/>
    <w:pPr>
      <w:adjustRightInd w:val="0"/>
      <w:spacing w:line="480" w:lineRule="atLeast"/>
      <w:ind w:firstLine="600"/>
      <w:textAlignment w:val="baseline"/>
    </w:pPr>
    <w:rPr>
      <w:rFonts w:eastAsia="仿宋_GB2312"/>
      <w:kern w:val="0"/>
      <w:sz w:val="30"/>
      <w:szCs w:val="20"/>
    </w:rPr>
  </w:style>
  <w:style w:type="paragraph" w:styleId="13">
    <w:name w:val="toc 7"/>
    <w:basedOn w:val="1"/>
    <w:next w:val="1"/>
    <w:qFormat/>
    <w:uiPriority w:val="39"/>
    <w:pPr>
      <w:ind w:left="1260"/>
      <w:jc w:val="left"/>
    </w:pPr>
    <w:rPr>
      <w:sz w:val="18"/>
      <w:szCs w:val="18"/>
    </w:rPr>
  </w:style>
  <w:style w:type="paragraph" w:styleId="14">
    <w:name w:val="caption"/>
    <w:basedOn w:val="1"/>
    <w:next w:val="1"/>
    <w:qFormat/>
    <w:uiPriority w:val="0"/>
    <w:rPr>
      <w:rFonts w:ascii="Cambria" w:hAnsi="Cambria" w:eastAsia="黑体"/>
      <w:sz w:val="20"/>
      <w:szCs w:val="20"/>
    </w:rPr>
  </w:style>
  <w:style w:type="paragraph" w:styleId="15">
    <w:name w:val="Document Map"/>
    <w:basedOn w:val="1"/>
    <w:link w:val="67"/>
    <w:qFormat/>
    <w:uiPriority w:val="0"/>
    <w:pPr>
      <w:shd w:val="clear" w:color="auto" w:fill="000080"/>
    </w:pPr>
    <w:rPr>
      <w:rFonts w:ascii="Calibri" w:hAnsi="Calibri"/>
      <w:kern w:val="0"/>
      <w:sz w:val="20"/>
    </w:rPr>
  </w:style>
  <w:style w:type="paragraph" w:styleId="16">
    <w:name w:val="annotation text"/>
    <w:basedOn w:val="1"/>
    <w:link w:val="68"/>
    <w:unhideWhenUsed/>
    <w:qFormat/>
    <w:uiPriority w:val="99"/>
    <w:pPr>
      <w:jc w:val="left"/>
    </w:pPr>
  </w:style>
  <w:style w:type="paragraph" w:styleId="17">
    <w:name w:val="Body Text 3"/>
    <w:basedOn w:val="1"/>
    <w:link w:val="69"/>
    <w:qFormat/>
    <w:uiPriority w:val="0"/>
    <w:pPr>
      <w:spacing w:after="120"/>
    </w:pPr>
    <w:rPr>
      <w:rFonts w:ascii="Calibri" w:hAnsi="Calibri"/>
      <w:kern w:val="0"/>
      <w:sz w:val="16"/>
      <w:szCs w:val="16"/>
    </w:rPr>
  </w:style>
  <w:style w:type="paragraph" w:styleId="18">
    <w:name w:val="Body Text Indent"/>
    <w:basedOn w:val="1"/>
    <w:next w:val="19"/>
    <w:link w:val="71"/>
    <w:qFormat/>
    <w:uiPriority w:val="0"/>
    <w:pPr>
      <w:spacing w:after="120"/>
      <w:ind w:left="420" w:leftChars="200"/>
    </w:pPr>
    <w:rPr>
      <w:rFonts w:ascii="Calibri" w:hAnsi="Calibri"/>
      <w:kern w:val="0"/>
      <w:sz w:val="20"/>
    </w:rPr>
  </w:style>
  <w:style w:type="paragraph" w:styleId="19">
    <w:name w:val="envelope return"/>
    <w:basedOn w:val="1"/>
    <w:unhideWhenUsed/>
    <w:qFormat/>
    <w:uiPriority w:val="99"/>
    <w:pPr>
      <w:snapToGrid w:val="0"/>
    </w:pPr>
    <w:rPr>
      <w:rFonts w:ascii="Arial" w:hAnsi="Arial"/>
    </w:rPr>
  </w:style>
  <w:style w:type="paragraph" w:styleId="20">
    <w:name w:val="Block Text"/>
    <w:basedOn w:val="1"/>
    <w:qFormat/>
    <w:uiPriority w:val="0"/>
    <w:pPr>
      <w:autoSpaceDE w:val="0"/>
      <w:autoSpaceDN w:val="0"/>
      <w:adjustRightInd w:val="0"/>
      <w:spacing w:line="1270" w:lineRule="exact"/>
      <w:ind w:left="2160" w:right="-20" w:hanging="2160" w:hangingChars="300"/>
      <w:jc w:val="left"/>
    </w:pPr>
    <w:rPr>
      <w:rFonts w:eastAsia="仿宋_GB2312"/>
      <w:sz w:val="72"/>
    </w:rPr>
  </w:style>
  <w:style w:type="paragraph" w:styleId="21">
    <w:name w:val="index 4"/>
    <w:basedOn w:val="1"/>
    <w:next w:val="1"/>
    <w:qFormat/>
    <w:uiPriority w:val="0"/>
    <w:pPr>
      <w:ind w:left="600" w:leftChars="600"/>
    </w:pPr>
  </w:style>
  <w:style w:type="paragraph" w:styleId="22">
    <w:name w:val="toc 5"/>
    <w:basedOn w:val="1"/>
    <w:next w:val="1"/>
    <w:qFormat/>
    <w:uiPriority w:val="39"/>
    <w:pPr>
      <w:ind w:left="840"/>
      <w:jc w:val="left"/>
    </w:pPr>
    <w:rPr>
      <w:sz w:val="18"/>
      <w:szCs w:val="18"/>
    </w:rPr>
  </w:style>
  <w:style w:type="paragraph" w:styleId="23">
    <w:name w:val="toc 3"/>
    <w:basedOn w:val="1"/>
    <w:next w:val="1"/>
    <w:qFormat/>
    <w:uiPriority w:val="39"/>
    <w:pPr>
      <w:ind w:left="420"/>
      <w:jc w:val="left"/>
    </w:pPr>
    <w:rPr>
      <w:rFonts w:ascii="黑体" w:hAnsi="Calibri" w:eastAsia="黑体"/>
      <w:iCs/>
      <w:snapToGrid w:val="0"/>
      <w:kern w:val="0"/>
      <w:sz w:val="24"/>
    </w:rPr>
  </w:style>
  <w:style w:type="paragraph" w:styleId="24">
    <w:name w:val="Plain Text"/>
    <w:basedOn w:val="1"/>
    <w:link w:val="72"/>
    <w:qFormat/>
    <w:uiPriority w:val="0"/>
    <w:rPr>
      <w:rFonts w:ascii="宋体" w:hAnsi="Courier New"/>
      <w:kern w:val="0"/>
      <w:sz w:val="28"/>
      <w:szCs w:val="28"/>
    </w:rPr>
  </w:style>
  <w:style w:type="paragraph" w:styleId="25">
    <w:name w:val="toc 8"/>
    <w:basedOn w:val="1"/>
    <w:next w:val="1"/>
    <w:qFormat/>
    <w:uiPriority w:val="39"/>
    <w:pPr>
      <w:ind w:left="1470"/>
      <w:jc w:val="left"/>
    </w:pPr>
    <w:rPr>
      <w:sz w:val="18"/>
      <w:szCs w:val="18"/>
    </w:rPr>
  </w:style>
  <w:style w:type="paragraph" w:styleId="26">
    <w:name w:val="Date"/>
    <w:basedOn w:val="1"/>
    <w:next w:val="1"/>
    <w:link w:val="73"/>
    <w:qFormat/>
    <w:uiPriority w:val="0"/>
    <w:pPr>
      <w:ind w:left="100" w:leftChars="2500"/>
    </w:pPr>
    <w:rPr>
      <w:rFonts w:ascii="Calibri" w:hAnsi="Calibri"/>
      <w:kern w:val="0"/>
      <w:sz w:val="20"/>
    </w:rPr>
  </w:style>
  <w:style w:type="paragraph" w:styleId="27">
    <w:name w:val="Body Text Indent 2"/>
    <w:basedOn w:val="1"/>
    <w:link w:val="74"/>
    <w:qFormat/>
    <w:uiPriority w:val="0"/>
    <w:pPr>
      <w:ind w:left="1005" w:hanging="1005"/>
    </w:pPr>
    <w:rPr>
      <w:rFonts w:ascii="Calibri" w:hAnsi="Calibri" w:eastAsia="仿宋_GB2312"/>
      <w:kern w:val="0"/>
      <w:sz w:val="32"/>
      <w:szCs w:val="20"/>
    </w:rPr>
  </w:style>
  <w:style w:type="paragraph" w:styleId="28">
    <w:name w:val="endnote text"/>
    <w:basedOn w:val="1"/>
    <w:link w:val="75"/>
    <w:qFormat/>
    <w:uiPriority w:val="0"/>
    <w:pPr>
      <w:widowControl/>
      <w:snapToGrid w:val="0"/>
      <w:jc w:val="left"/>
    </w:pPr>
    <w:rPr>
      <w:rFonts w:ascii="Arial" w:hAnsi="Arial" w:cs="Arial"/>
      <w:kern w:val="0"/>
      <w:sz w:val="20"/>
      <w:lang w:eastAsia="en-US"/>
    </w:rPr>
  </w:style>
  <w:style w:type="paragraph" w:styleId="29">
    <w:name w:val="Balloon Text"/>
    <w:basedOn w:val="1"/>
    <w:link w:val="76"/>
    <w:qFormat/>
    <w:uiPriority w:val="0"/>
    <w:rPr>
      <w:rFonts w:ascii="Calibri" w:hAnsi="Calibri"/>
      <w:kern w:val="0"/>
      <w:sz w:val="18"/>
      <w:szCs w:val="18"/>
    </w:rPr>
  </w:style>
  <w:style w:type="paragraph" w:styleId="30">
    <w:name w:val="footer"/>
    <w:basedOn w:val="1"/>
    <w:link w:val="77"/>
    <w:unhideWhenUsed/>
    <w:qFormat/>
    <w:uiPriority w:val="0"/>
    <w:pPr>
      <w:tabs>
        <w:tab w:val="center" w:pos="4153"/>
        <w:tab w:val="right" w:pos="8306"/>
      </w:tabs>
      <w:snapToGrid w:val="0"/>
      <w:jc w:val="left"/>
    </w:pPr>
    <w:rPr>
      <w:sz w:val="18"/>
      <w:szCs w:val="18"/>
    </w:rPr>
  </w:style>
  <w:style w:type="paragraph" w:styleId="31">
    <w:name w:val="header"/>
    <w:basedOn w:val="1"/>
    <w:link w:val="78"/>
    <w:unhideWhenUsed/>
    <w:qFormat/>
    <w:uiPriority w:val="0"/>
    <w:pPr>
      <w:pBdr>
        <w:bottom w:val="single" w:color="auto" w:sz="6" w:space="1"/>
      </w:pBdr>
      <w:tabs>
        <w:tab w:val="center" w:pos="4153"/>
        <w:tab w:val="right" w:pos="8306"/>
      </w:tabs>
      <w:snapToGrid w:val="0"/>
      <w:jc w:val="center"/>
    </w:pPr>
    <w:rPr>
      <w:sz w:val="18"/>
      <w:szCs w:val="18"/>
    </w:rPr>
  </w:style>
  <w:style w:type="paragraph" w:styleId="32">
    <w:name w:val="toc 1"/>
    <w:basedOn w:val="1"/>
    <w:next w:val="1"/>
    <w:qFormat/>
    <w:uiPriority w:val="39"/>
    <w:pPr>
      <w:tabs>
        <w:tab w:val="left" w:pos="1120"/>
        <w:tab w:val="right" w:leader="dot" w:pos="8613"/>
      </w:tabs>
      <w:spacing w:before="120" w:after="120"/>
    </w:pPr>
    <w:rPr>
      <w:rFonts w:ascii="Calibri" w:hAnsi="Calibri" w:eastAsia="仿宋_GB2312"/>
      <w:b/>
      <w:bCs/>
      <w:caps/>
      <w:sz w:val="28"/>
      <w:szCs w:val="20"/>
    </w:rPr>
  </w:style>
  <w:style w:type="paragraph" w:styleId="33">
    <w:name w:val="toc 4"/>
    <w:basedOn w:val="6"/>
    <w:next w:val="1"/>
    <w:qFormat/>
    <w:uiPriority w:val="39"/>
    <w:pPr>
      <w:ind w:left="630"/>
      <w:jc w:val="left"/>
      <w:outlineLvl w:val="9"/>
    </w:pPr>
    <w:rPr>
      <w:sz w:val="18"/>
      <w:szCs w:val="18"/>
    </w:rPr>
  </w:style>
  <w:style w:type="paragraph" w:styleId="34">
    <w:name w:val="Subtitle"/>
    <w:basedOn w:val="1"/>
    <w:link w:val="79"/>
    <w:qFormat/>
    <w:uiPriority w:val="0"/>
    <w:pPr>
      <w:widowControl/>
      <w:jc w:val="center"/>
    </w:pPr>
    <w:rPr>
      <w:rFonts w:ascii="宋体" w:hAnsi="Courier New"/>
      <w:kern w:val="0"/>
      <w:sz w:val="28"/>
      <w:szCs w:val="28"/>
    </w:rPr>
  </w:style>
  <w:style w:type="paragraph" w:styleId="35">
    <w:name w:val="footnote text"/>
    <w:basedOn w:val="1"/>
    <w:link w:val="80"/>
    <w:qFormat/>
    <w:uiPriority w:val="0"/>
    <w:pPr>
      <w:snapToGrid w:val="0"/>
      <w:jc w:val="left"/>
    </w:pPr>
    <w:rPr>
      <w:rFonts w:ascii="Calibri" w:hAnsi="Calibri"/>
      <w:kern w:val="0"/>
      <w:sz w:val="18"/>
      <w:szCs w:val="18"/>
    </w:rPr>
  </w:style>
  <w:style w:type="paragraph" w:styleId="36">
    <w:name w:val="toc 6"/>
    <w:basedOn w:val="1"/>
    <w:next w:val="1"/>
    <w:qFormat/>
    <w:uiPriority w:val="39"/>
    <w:pPr>
      <w:ind w:left="1050"/>
      <w:jc w:val="left"/>
    </w:pPr>
    <w:rPr>
      <w:sz w:val="18"/>
      <w:szCs w:val="18"/>
    </w:rPr>
  </w:style>
  <w:style w:type="paragraph" w:styleId="37">
    <w:name w:val="Body Text Indent 3"/>
    <w:basedOn w:val="1"/>
    <w:link w:val="81"/>
    <w:qFormat/>
    <w:uiPriority w:val="0"/>
    <w:pPr>
      <w:spacing w:after="120"/>
      <w:ind w:left="420" w:leftChars="200"/>
    </w:pPr>
    <w:rPr>
      <w:rFonts w:ascii="Calibri" w:hAnsi="Calibri"/>
      <w:kern w:val="0"/>
      <w:sz w:val="16"/>
      <w:szCs w:val="16"/>
    </w:rPr>
  </w:style>
  <w:style w:type="paragraph" w:styleId="38">
    <w:name w:val="toc 2"/>
    <w:basedOn w:val="1"/>
    <w:next w:val="1"/>
    <w:qFormat/>
    <w:uiPriority w:val="39"/>
    <w:pPr>
      <w:tabs>
        <w:tab w:val="right" w:leader="dot" w:pos="8609"/>
      </w:tabs>
    </w:pPr>
    <w:rPr>
      <w:rFonts w:ascii="宋体" w:hAnsi="宋体"/>
      <w:bCs/>
      <w:smallCaps/>
      <w:color w:val="000000"/>
      <w:szCs w:val="20"/>
    </w:rPr>
  </w:style>
  <w:style w:type="paragraph" w:styleId="39">
    <w:name w:val="toc 9"/>
    <w:basedOn w:val="1"/>
    <w:next w:val="1"/>
    <w:qFormat/>
    <w:uiPriority w:val="39"/>
    <w:pPr>
      <w:ind w:left="1680"/>
      <w:jc w:val="left"/>
    </w:pPr>
    <w:rPr>
      <w:sz w:val="18"/>
      <w:szCs w:val="18"/>
    </w:rPr>
  </w:style>
  <w:style w:type="paragraph" w:styleId="40">
    <w:name w:val="Body Text 2"/>
    <w:basedOn w:val="1"/>
    <w:link w:val="82"/>
    <w:qFormat/>
    <w:uiPriority w:val="0"/>
    <w:rPr>
      <w:i/>
      <w:iCs/>
      <w:sz w:val="26"/>
    </w:rPr>
  </w:style>
  <w:style w:type="paragraph" w:styleId="41">
    <w:name w:val="HTML Preformatted"/>
    <w:basedOn w:val="1"/>
    <w:link w:val="83"/>
    <w:unhideWhenUsed/>
    <w:qFormat/>
    <w:uiPriority w:val="0"/>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仿宋_GB2312" w:hAnsi="Calibri" w:eastAsia="仿宋_GB2312"/>
      <w:b/>
      <w:kern w:val="0"/>
      <w:sz w:val="24"/>
      <w:szCs w:val="28"/>
    </w:rPr>
  </w:style>
  <w:style w:type="paragraph" w:styleId="42">
    <w:name w:val="Normal (Web)"/>
    <w:basedOn w:val="1"/>
    <w:unhideWhenUsed/>
    <w:qFormat/>
    <w:uiPriority w:val="0"/>
    <w:pPr>
      <w:widowControl/>
      <w:spacing w:before="100" w:beforeAutospacing="1" w:after="100" w:afterAutospacing="1"/>
      <w:jc w:val="left"/>
    </w:pPr>
    <w:rPr>
      <w:rFonts w:ascii="宋体" w:hAnsi="宋体" w:cs="宋体"/>
      <w:kern w:val="0"/>
      <w:sz w:val="24"/>
    </w:rPr>
  </w:style>
  <w:style w:type="paragraph" w:styleId="43">
    <w:name w:val="index 1"/>
    <w:basedOn w:val="1"/>
    <w:next w:val="1"/>
    <w:qFormat/>
    <w:uiPriority w:val="0"/>
    <w:pPr>
      <w:spacing w:line="220" w:lineRule="exact"/>
      <w:jc w:val="center"/>
    </w:pPr>
    <w:rPr>
      <w:rFonts w:ascii="仿宋_GB2312" w:eastAsia="仿宋_GB2312"/>
      <w:szCs w:val="21"/>
    </w:rPr>
  </w:style>
  <w:style w:type="paragraph" w:styleId="44">
    <w:name w:val="Title"/>
    <w:basedOn w:val="1"/>
    <w:next w:val="1"/>
    <w:link w:val="84"/>
    <w:qFormat/>
    <w:uiPriority w:val="0"/>
    <w:pPr>
      <w:widowControl/>
      <w:jc w:val="center"/>
    </w:pPr>
    <w:rPr>
      <w:rFonts w:ascii="Calibri" w:hAnsi="Calibri"/>
      <w:kern w:val="0"/>
      <w:sz w:val="20"/>
      <w:u w:val="single"/>
      <w:lang w:eastAsia="en-US"/>
    </w:rPr>
  </w:style>
  <w:style w:type="paragraph" w:styleId="45">
    <w:name w:val="annotation subject"/>
    <w:basedOn w:val="16"/>
    <w:next w:val="16"/>
    <w:link w:val="85"/>
    <w:qFormat/>
    <w:uiPriority w:val="0"/>
    <w:rPr>
      <w:rFonts w:ascii="Calibri" w:hAnsi="Calibri"/>
      <w:b/>
      <w:bCs/>
      <w:kern w:val="0"/>
      <w:sz w:val="20"/>
    </w:rPr>
  </w:style>
  <w:style w:type="paragraph" w:styleId="46">
    <w:name w:val="Body Text First Indent"/>
    <w:basedOn w:val="2"/>
    <w:link w:val="86"/>
    <w:qFormat/>
    <w:uiPriority w:val="0"/>
    <w:pPr>
      <w:spacing w:after="0"/>
      <w:ind w:firstLine="100" w:firstLineChars="100"/>
    </w:pPr>
    <w:rPr>
      <w:sz w:val="24"/>
    </w:rPr>
  </w:style>
  <w:style w:type="paragraph" w:styleId="47">
    <w:name w:val="Body Text First Indent 2"/>
    <w:basedOn w:val="18"/>
    <w:next w:val="46"/>
    <w:link w:val="87"/>
    <w:qFormat/>
    <w:uiPriority w:val="0"/>
    <w:pPr>
      <w:ind w:firstLine="420" w:firstLineChars="200"/>
    </w:pPr>
  </w:style>
  <w:style w:type="character" w:styleId="50">
    <w:name w:val="Strong"/>
    <w:qFormat/>
    <w:uiPriority w:val="0"/>
    <w:rPr>
      <w:b/>
      <w:bCs/>
    </w:rPr>
  </w:style>
  <w:style w:type="character" w:styleId="51">
    <w:name w:val="endnote reference"/>
    <w:qFormat/>
    <w:uiPriority w:val="0"/>
    <w:rPr>
      <w:vertAlign w:val="superscript"/>
    </w:rPr>
  </w:style>
  <w:style w:type="character" w:styleId="52">
    <w:name w:val="page number"/>
    <w:basedOn w:val="49"/>
    <w:qFormat/>
    <w:uiPriority w:val="0"/>
  </w:style>
  <w:style w:type="character" w:styleId="53">
    <w:name w:val="FollowedHyperlink"/>
    <w:qFormat/>
    <w:uiPriority w:val="0"/>
    <w:rPr>
      <w:color w:val="800080"/>
      <w:u w:val="single"/>
    </w:rPr>
  </w:style>
  <w:style w:type="character" w:styleId="54">
    <w:name w:val="Emphasis"/>
    <w:qFormat/>
    <w:uiPriority w:val="0"/>
    <w:rPr>
      <w:rFonts w:cs="Times New Roman"/>
      <w:i/>
    </w:rPr>
  </w:style>
  <w:style w:type="character" w:styleId="55">
    <w:name w:val="Hyperlink"/>
    <w:qFormat/>
    <w:uiPriority w:val="99"/>
    <w:rPr>
      <w:color w:val="0000FF"/>
      <w:u w:val="single"/>
    </w:rPr>
  </w:style>
  <w:style w:type="character" w:styleId="56">
    <w:name w:val="annotation reference"/>
    <w:qFormat/>
    <w:uiPriority w:val="0"/>
    <w:rPr>
      <w:sz w:val="21"/>
      <w:szCs w:val="21"/>
    </w:rPr>
  </w:style>
  <w:style w:type="character" w:styleId="57">
    <w:name w:val="footnote reference"/>
    <w:qFormat/>
    <w:uiPriority w:val="0"/>
    <w:rPr>
      <w:vertAlign w:val="superscript"/>
    </w:rPr>
  </w:style>
  <w:style w:type="character" w:customStyle="1" w:styleId="58">
    <w:name w:val="标题 3 Char2"/>
    <w:qFormat/>
    <w:uiPriority w:val="0"/>
    <w:rPr>
      <w:rFonts w:ascii="仿宋_GB2312" w:hAnsi="Times New Roman" w:eastAsia="仿宋_GB2312" w:cs="MingLiU"/>
      <w:b/>
      <w:kern w:val="0"/>
      <w:sz w:val="24"/>
      <w:szCs w:val="28"/>
    </w:rPr>
  </w:style>
  <w:style w:type="character" w:customStyle="1" w:styleId="59">
    <w:name w:val="标题 1 字符"/>
    <w:link w:val="3"/>
    <w:qFormat/>
    <w:uiPriority w:val="0"/>
    <w:rPr>
      <w:rFonts w:ascii="Times New Roman" w:hAnsi="Times New Roman" w:eastAsia="宋体" w:cs="Times New Roman"/>
      <w:b/>
      <w:bCs/>
      <w:kern w:val="44"/>
      <w:sz w:val="44"/>
      <w:szCs w:val="44"/>
    </w:rPr>
  </w:style>
  <w:style w:type="character" w:customStyle="1" w:styleId="60">
    <w:name w:val="标题 2 Char2"/>
    <w:qFormat/>
    <w:uiPriority w:val="0"/>
    <w:rPr>
      <w:rFonts w:ascii="仿宋_GB2312" w:hAnsi="Times New Roman" w:eastAsia="仿宋_GB2312" w:cs="MingLiU"/>
      <w:b/>
      <w:spacing w:val="1"/>
      <w:w w:val="99"/>
      <w:kern w:val="0"/>
      <w:sz w:val="28"/>
      <w:szCs w:val="32"/>
    </w:rPr>
  </w:style>
  <w:style w:type="character" w:customStyle="1" w:styleId="61">
    <w:name w:val="标题 4 Char2"/>
    <w:qFormat/>
    <w:uiPriority w:val="0"/>
    <w:rPr>
      <w:rFonts w:ascii="仿宋_GB2312" w:hAnsi="Times New Roman" w:eastAsia="仿宋_GB2312" w:cs="MingLiU"/>
      <w:b/>
      <w:kern w:val="0"/>
      <w:sz w:val="24"/>
      <w:szCs w:val="28"/>
    </w:rPr>
  </w:style>
  <w:style w:type="character" w:customStyle="1" w:styleId="62">
    <w:name w:val="标题 5 Char1"/>
    <w:qFormat/>
    <w:uiPriority w:val="0"/>
    <w:rPr>
      <w:rFonts w:ascii="宋体" w:hAnsi="宋体" w:eastAsia="宋体" w:cs="宋体"/>
      <w:b/>
      <w:bCs/>
      <w:kern w:val="0"/>
      <w:sz w:val="20"/>
      <w:szCs w:val="20"/>
    </w:rPr>
  </w:style>
  <w:style w:type="character" w:customStyle="1" w:styleId="63">
    <w:name w:val="标题 6 字符"/>
    <w:link w:val="8"/>
    <w:qFormat/>
    <w:uiPriority w:val="0"/>
    <w:rPr>
      <w:rFonts w:ascii="Cambria" w:hAnsi="Cambria" w:eastAsia="宋体" w:cs="Times New Roman"/>
      <w:b/>
      <w:bCs/>
      <w:sz w:val="24"/>
      <w:szCs w:val="24"/>
    </w:rPr>
  </w:style>
  <w:style w:type="character" w:customStyle="1" w:styleId="64">
    <w:name w:val="标题 7 Char1"/>
    <w:qFormat/>
    <w:uiPriority w:val="0"/>
    <w:rPr>
      <w:rFonts w:ascii="Times New Roman" w:hAnsi="Times New Roman" w:eastAsia="仿宋_GB2312" w:cs="Times New Roman"/>
      <w:kern w:val="0"/>
      <w:sz w:val="30"/>
      <w:szCs w:val="20"/>
    </w:rPr>
  </w:style>
  <w:style w:type="character" w:customStyle="1" w:styleId="65">
    <w:name w:val="标题 8 字符"/>
    <w:link w:val="11"/>
    <w:qFormat/>
    <w:uiPriority w:val="0"/>
    <w:rPr>
      <w:rFonts w:ascii="Cambria" w:hAnsi="Cambria" w:eastAsia="宋体" w:cs="Times New Roman"/>
      <w:sz w:val="24"/>
      <w:szCs w:val="24"/>
    </w:rPr>
  </w:style>
  <w:style w:type="character" w:customStyle="1" w:styleId="66">
    <w:name w:val="标题 9 Char1"/>
    <w:qFormat/>
    <w:uiPriority w:val="0"/>
    <w:rPr>
      <w:rFonts w:ascii="Times New Roman" w:hAnsi="Times New Roman" w:eastAsia="仿宋_GB2312" w:cs="Times New Roman"/>
      <w:kern w:val="0"/>
      <w:sz w:val="30"/>
      <w:szCs w:val="20"/>
    </w:rPr>
  </w:style>
  <w:style w:type="character" w:customStyle="1" w:styleId="67">
    <w:name w:val="文档结构图 字符"/>
    <w:link w:val="15"/>
    <w:qFormat/>
    <w:locked/>
    <w:uiPriority w:val="99"/>
    <w:rPr>
      <w:szCs w:val="24"/>
      <w:shd w:val="clear" w:color="auto" w:fill="000080"/>
    </w:rPr>
  </w:style>
  <w:style w:type="character" w:customStyle="1" w:styleId="68">
    <w:name w:val="批注文字 字符"/>
    <w:link w:val="16"/>
    <w:qFormat/>
    <w:uiPriority w:val="99"/>
    <w:rPr>
      <w:rFonts w:ascii="Times New Roman" w:hAnsi="Times New Roman" w:eastAsia="宋体" w:cs="Times New Roman"/>
      <w:szCs w:val="24"/>
    </w:rPr>
  </w:style>
  <w:style w:type="character" w:customStyle="1" w:styleId="69">
    <w:name w:val="正文文本 3 字符"/>
    <w:link w:val="17"/>
    <w:qFormat/>
    <w:locked/>
    <w:uiPriority w:val="0"/>
    <w:rPr>
      <w:sz w:val="16"/>
      <w:szCs w:val="16"/>
    </w:rPr>
  </w:style>
  <w:style w:type="character" w:customStyle="1" w:styleId="70">
    <w:name w:val="正文文本 字符"/>
    <w:link w:val="2"/>
    <w:qFormat/>
    <w:uiPriority w:val="99"/>
    <w:rPr>
      <w:szCs w:val="24"/>
    </w:rPr>
  </w:style>
  <w:style w:type="character" w:customStyle="1" w:styleId="71">
    <w:name w:val="正文文本缩进 字符"/>
    <w:link w:val="18"/>
    <w:qFormat/>
    <w:uiPriority w:val="0"/>
    <w:rPr>
      <w:szCs w:val="24"/>
    </w:rPr>
  </w:style>
  <w:style w:type="character" w:customStyle="1" w:styleId="72">
    <w:name w:val="纯文本 字符"/>
    <w:link w:val="24"/>
    <w:qFormat/>
    <w:uiPriority w:val="99"/>
    <w:rPr>
      <w:rFonts w:ascii="宋体" w:hAnsi="Courier New"/>
      <w:sz w:val="28"/>
      <w:szCs w:val="28"/>
    </w:rPr>
  </w:style>
  <w:style w:type="character" w:customStyle="1" w:styleId="73">
    <w:name w:val="日期 字符"/>
    <w:link w:val="26"/>
    <w:qFormat/>
    <w:uiPriority w:val="99"/>
    <w:rPr>
      <w:szCs w:val="24"/>
    </w:rPr>
  </w:style>
  <w:style w:type="character" w:customStyle="1" w:styleId="74">
    <w:name w:val="正文文本缩进 2 字符"/>
    <w:link w:val="27"/>
    <w:qFormat/>
    <w:locked/>
    <w:uiPriority w:val="0"/>
    <w:rPr>
      <w:rFonts w:eastAsia="仿宋_GB2312"/>
      <w:sz w:val="32"/>
    </w:rPr>
  </w:style>
  <w:style w:type="character" w:customStyle="1" w:styleId="75">
    <w:name w:val="尾注文本 字符"/>
    <w:link w:val="28"/>
    <w:qFormat/>
    <w:uiPriority w:val="0"/>
    <w:rPr>
      <w:rFonts w:ascii="Arial" w:hAnsi="Arial" w:eastAsia="宋体" w:cs="Arial"/>
      <w:kern w:val="0"/>
      <w:sz w:val="20"/>
      <w:szCs w:val="24"/>
      <w:lang w:eastAsia="en-US"/>
    </w:rPr>
  </w:style>
  <w:style w:type="character" w:customStyle="1" w:styleId="76">
    <w:name w:val="批注框文本 字符"/>
    <w:link w:val="29"/>
    <w:qFormat/>
    <w:locked/>
    <w:uiPriority w:val="99"/>
    <w:rPr>
      <w:sz w:val="18"/>
      <w:szCs w:val="18"/>
    </w:rPr>
  </w:style>
  <w:style w:type="character" w:customStyle="1" w:styleId="77">
    <w:name w:val="页脚 字符"/>
    <w:link w:val="30"/>
    <w:qFormat/>
    <w:uiPriority w:val="0"/>
    <w:rPr>
      <w:sz w:val="18"/>
      <w:szCs w:val="18"/>
    </w:rPr>
  </w:style>
  <w:style w:type="character" w:customStyle="1" w:styleId="78">
    <w:name w:val="页眉 字符"/>
    <w:link w:val="31"/>
    <w:qFormat/>
    <w:uiPriority w:val="0"/>
    <w:rPr>
      <w:sz w:val="18"/>
      <w:szCs w:val="18"/>
    </w:rPr>
  </w:style>
  <w:style w:type="character" w:customStyle="1" w:styleId="79">
    <w:name w:val="副标题 字符"/>
    <w:link w:val="34"/>
    <w:qFormat/>
    <w:uiPriority w:val="11"/>
    <w:rPr>
      <w:rFonts w:ascii="宋体" w:hAnsi="Courier New"/>
      <w:sz w:val="28"/>
      <w:szCs w:val="28"/>
    </w:rPr>
  </w:style>
  <w:style w:type="character" w:customStyle="1" w:styleId="80">
    <w:name w:val="脚注文本 字符"/>
    <w:link w:val="35"/>
    <w:qFormat/>
    <w:uiPriority w:val="99"/>
    <w:rPr>
      <w:sz w:val="18"/>
      <w:szCs w:val="18"/>
    </w:rPr>
  </w:style>
  <w:style w:type="character" w:customStyle="1" w:styleId="81">
    <w:name w:val="正文文本缩进 3 字符"/>
    <w:link w:val="37"/>
    <w:qFormat/>
    <w:locked/>
    <w:uiPriority w:val="0"/>
    <w:rPr>
      <w:sz w:val="16"/>
      <w:szCs w:val="16"/>
    </w:rPr>
  </w:style>
  <w:style w:type="character" w:customStyle="1" w:styleId="82">
    <w:name w:val="正文文本 2 字符"/>
    <w:link w:val="40"/>
    <w:qFormat/>
    <w:uiPriority w:val="99"/>
    <w:rPr>
      <w:rFonts w:ascii="Times New Roman" w:hAnsi="Times New Roman" w:eastAsia="宋体" w:cs="Times New Roman"/>
      <w:i/>
      <w:iCs/>
      <w:sz w:val="26"/>
      <w:szCs w:val="24"/>
    </w:rPr>
  </w:style>
  <w:style w:type="character" w:customStyle="1" w:styleId="83">
    <w:name w:val="HTML 预设格式 字符"/>
    <w:link w:val="41"/>
    <w:qFormat/>
    <w:uiPriority w:val="0"/>
    <w:rPr>
      <w:rFonts w:ascii="仿宋_GB2312" w:eastAsia="仿宋_GB2312" w:cs="MingLiU"/>
      <w:b/>
      <w:sz w:val="24"/>
      <w:szCs w:val="28"/>
    </w:rPr>
  </w:style>
  <w:style w:type="character" w:customStyle="1" w:styleId="84">
    <w:name w:val="标题 字符"/>
    <w:link w:val="44"/>
    <w:qFormat/>
    <w:locked/>
    <w:uiPriority w:val="10"/>
    <w:rPr>
      <w:szCs w:val="24"/>
      <w:u w:val="single"/>
      <w:lang w:eastAsia="en-US"/>
    </w:rPr>
  </w:style>
  <w:style w:type="character" w:customStyle="1" w:styleId="85">
    <w:name w:val="批注主题 字符"/>
    <w:link w:val="45"/>
    <w:qFormat/>
    <w:locked/>
    <w:uiPriority w:val="99"/>
    <w:rPr>
      <w:b/>
      <w:bCs/>
      <w:szCs w:val="24"/>
    </w:rPr>
  </w:style>
  <w:style w:type="character" w:customStyle="1" w:styleId="86">
    <w:name w:val="正文首行缩进 字符"/>
    <w:link w:val="46"/>
    <w:qFormat/>
    <w:locked/>
    <w:uiPriority w:val="0"/>
    <w:rPr>
      <w:sz w:val="24"/>
      <w:szCs w:val="24"/>
    </w:rPr>
  </w:style>
  <w:style w:type="character" w:customStyle="1" w:styleId="87">
    <w:name w:val="正文首行缩进 2 字符"/>
    <w:link w:val="47"/>
    <w:qFormat/>
    <w:locked/>
    <w:uiPriority w:val="0"/>
    <w:rPr>
      <w:szCs w:val="24"/>
    </w:rPr>
  </w:style>
  <w:style w:type="character" w:customStyle="1" w:styleId="88">
    <w:name w:val="标题 3 字符"/>
    <w:link w:val="5"/>
    <w:qFormat/>
    <w:uiPriority w:val="0"/>
    <w:rPr>
      <w:rFonts w:ascii="Times New Roman" w:hAnsi="Times New Roman" w:eastAsia="宋体" w:cs="Times New Roman"/>
      <w:b/>
      <w:bCs/>
      <w:sz w:val="32"/>
      <w:szCs w:val="32"/>
    </w:rPr>
  </w:style>
  <w:style w:type="character" w:customStyle="1" w:styleId="89">
    <w:name w:val="标题 2 字符"/>
    <w:link w:val="4"/>
    <w:qFormat/>
    <w:uiPriority w:val="0"/>
    <w:rPr>
      <w:rFonts w:ascii="Cambria" w:hAnsi="Cambria" w:eastAsia="宋体" w:cs="Times New Roman"/>
      <w:b/>
      <w:bCs/>
      <w:sz w:val="32"/>
      <w:szCs w:val="32"/>
    </w:rPr>
  </w:style>
  <w:style w:type="character" w:customStyle="1" w:styleId="90">
    <w:name w:val="标题 4 字符"/>
    <w:link w:val="6"/>
    <w:qFormat/>
    <w:uiPriority w:val="0"/>
    <w:rPr>
      <w:rFonts w:ascii="Cambria" w:hAnsi="Cambria" w:eastAsia="宋体" w:cs="Times New Roman"/>
      <w:b/>
      <w:bCs/>
      <w:sz w:val="28"/>
      <w:szCs w:val="28"/>
    </w:rPr>
  </w:style>
  <w:style w:type="character" w:customStyle="1" w:styleId="91">
    <w:name w:val="标题 5 字符"/>
    <w:link w:val="7"/>
    <w:qFormat/>
    <w:uiPriority w:val="0"/>
    <w:rPr>
      <w:rFonts w:ascii="Times New Roman" w:hAnsi="Times New Roman" w:eastAsia="宋体" w:cs="Times New Roman"/>
      <w:b/>
      <w:bCs/>
      <w:sz w:val="28"/>
      <w:szCs w:val="28"/>
    </w:rPr>
  </w:style>
  <w:style w:type="character" w:customStyle="1" w:styleId="92">
    <w:name w:val="标题 7 字符"/>
    <w:link w:val="10"/>
    <w:qFormat/>
    <w:uiPriority w:val="0"/>
    <w:rPr>
      <w:rFonts w:ascii="Times New Roman" w:hAnsi="Times New Roman" w:eastAsia="宋体" w:cs="Times New Roman"/>
      <w:b/>
      <w:bCs/>
      <w:sz w:val="24"/>
      <w:szCs w:val="24"/>
    </w:rPr>
  </w:style>
  <w:style w:type="character" w:customStyle="1" w:styleId="93">
    <w:name w:val="标题 9 字符"/>
    <w:link w:val="12"/>
    <w:qFormat/>
    <w:uiPriority w:val="0"/>
    <w:rPr>
      <w:rFonts w:ascii="Cambria" w:hAnsi="Cambria" w:eastAsia="宋体" w:cs="Times New Roman"/>
      <w:szCs w:val="21"/>
    </w:rPr>
  </w:style>
  <w:style w:type="character" w:customStyle="1" w:styleId="94">
    <w:name w:val="标题 1 Char2"/>
    <w:qFormat/>
    <w:uiPriority w:val="0"/>
    <w:rPr>
      <w:rFonts w:ascii="Times New Roman" w:hAnsi="Times New Roman" w:eastAsia="宋体" w:cs="Times New Roman"/>
      <w:b/>
      <w:bCs/>
      <w:kern w:val="44"/>
      <w:sz w:val="44"/>
      <w:szCs w:val="44"/>
    </w:rPr>
  </w:style>
  <w:style w:type="character" w:customStyle="1" w:styleId="95">
    <w:name w:val="标题 6 Char1"/>
    <w:qFormat/>
    <w:uiPriority w:val="0"/>
    <w:rPr>
      <w:rFonts w:ascii="Times New Roman" w:hAnsi="Arial" w:eastAsia="仿宋_GB2312" w:cs="Times New Roman"/>
      <w:kern w:val="0"/>
      <w:sz w:val="30"/>
      <w:szCs w:val="20"/>
    </w:rPr>
  </w:style>
  <w:style w:type="character" w:customStyle="1" w:styleId="96">
    <w:name w:val="标题 8 Char1"/>
    <w:qFormat/>
    <w:uiPriority w:val="0"/>
    <w:rPr>
      <w:rFonts w:ascii="Times New Roman" w:hAnsi="Arial" w:eastAsia="仿宋_GB2312" w:cs="Times New Roman"/>
      <w:kern w:val="0"/>
      <w:sz w:val="30"/>
      <w:szCs w:val="20"/>
    </w:rPr>
  </w:style>
  <w:style w:type="character" w:customStyle="1" w:styleId="97">
    <w:name w:val="正文文本 Char"/>
    <w:qFormat/>
    <w:uiPriority w:val="0"/>
    <w:rPr>
      <w:rFonts w:ascii="Tahoma" w:hAnsi="Tahoma"/>
      <w:kern w:val="2"/>
      <w:sz w:val="24"/>
    </w:rPr>
  </w:style>
  <w:style w:type="character" w:customStyle="1" w:styleId="98">
    <w:name w:val="apple-converted-space"/>
    <w:qFormat/>
    <w:uiPriority w:val="0"/>
    <w:rPr>
      <w:rFonts w:cs="Times New Roman"/>
    </w:rPr>
  </w:style>
  <w:style w:type="character" w:customStyle="1" w:styleId="99">
    <w:name w:val="Char Char39"/>
    <w:qFormat/>
    <w:uiPriority w:val="0"/>
    <w:rPr>
      <w:rFonts w:ascii="仿宋_GB2312" w:eastAsia="仿宋_GB2312" w:cs="MingLiU"/>
      <w:b/>
      <w:sz w:val="24"/>
      <w:szCs w:val="28"/>
      <w:lang w:val="en-US" w:eastAsia="zh-CN" w:bidi="ar-SA"/>
    </w:rPr>
  </w:style>
  <w:style w:type="character" w:customStyle="1" w:styleId="100">
    <w:name w:val="不明显参考1"/>
    <w:qFormat/>
    <w:uiPriority w:val="0"/>
    <w:rPr>
      <w:smallCaps/>
      <w:color w:val="C0504D"/>
      <w:u w:val="single"/>
    </w:rPr>
  </w:style>
  <w:style w:type="character" w:customStyle="1" w:styleId="101">
    <w:name w:val="Char Char12"/>
    <w:qFormat/>
    <w:uiPriority w:val="0"/>
    <w:rPr>
      <w:rFonts w:ascii="仿宋_GB2312" w:eastAsia="仿宋_GB2312" w:cs="MingLiU"/>
      <w:b/>
      <w:spacing w:val="1"/>
      <w:w w:val="99"/>
      <w:sz w:val="28"/>
      <w:szCs w:val="32"/>
      <w:lang w:val="en-US" w:eastAsia="zh-CN" w:bidi="ar-SA"/>
    </w:rPr>
  </w:style>
  <w:style w:type="character" w:customStyle="1" w:styleId="102">
    <w:name w:val="批注主题 Char4"/>
    <w:qFormat/>
    <w:uiPriority w:val="0"/>
    <w:rPr>
      <w:b/>
      <w:bCs/>
    </w:rPr>
  </w:style>
  <w:style w:type="character" w:customStyle="1" w:styleId="103">
    <w:name w:val="批注主题 Char1"/>
    <w:qFormat/>
    <w:uiPriority w:val="0"/>
    <w:rPr>
      <w:b/>
      <w:kern w:val="2"/>
      <w:sz w:val="22"/>
    </w:rPr>
  </w:style>
  <w:style w:type="character" w:customStyle="1" w:styleId="104">
    <w:name w:val="Quote Char Char"/>
    <w:link w:val="105"/>
    <w:qFormat/>
    <w:uiPriority w:val="0"/>
    <w:rPr>
      <w:i/>
      <w:color w:val="000000"/>
      <w:sz w:val="22"/>
    </w:rPr>
  </w:style>
  <w:style w:type="paragraph" w:customStyle="1" w:styleId="105">
    <w:name w:val="Quote1"/>
    <w:basedOn w:val="1"/>
    <w:next w:val="1"/>
    <w:link w:val="104"/>
    <w:qFormat/>
    <w:uiPriority w:val="0"/>
    <w:rPr>
      <w:rFonts w:ascii="Calibri" w:hAnsi="Calibri"/>
      <w:i/>
      <w:color w:val="000000"/>
      <w:kern w:val="0"/>
      <w:sz w:val="22"/>
      <w:szCs w:val="20"/>
    </w:rPr>
  </w:style>
  <w:style w:type="character" w:customStyle="1" w:styleId="106">
    <w:name w:val="Char Char36"/>
    <w:qFormat/>
    <w:uiPriority w:val="0"/>
    <w:rPr>
      <w:rFonts w:ascii="宋体" w:hAnsi="宋体" w:eastAsia="宋体" w:cs="宋体"/>
      <w:b/>
      <w:bCs/>
      <w:lang w:val="en-US" w:eastAsia="zh-CN" w:bidi="ar-SA"/>
    </w:rPr>
  </w:style>
  <w:style w:type="character" w:customStyle="1" w:styleId="107">
    <w:name w:val="日期 Char"/>
    <w:qFormat/>
    <w:uiPriority w:val="0"/>
    <w:rPr>
      <w:rFonts w:eastAsia="宋体"/>
      <w:kern w:val="2"/>
      <w:sz w:val="21"/>
      <w:szCs w:val="24"/>
      <w:lang w:val="en-US" w:eastAsia="zh-CN" w:bidi="ar-SA"/>
    </w:rPr>
  </w:style>
  <w:style w:type="character" w:customStyle="1" w:styleId="108">
    <w:name w:val="style161"/>
    <w:qFormat/>
    <w:uiPriority w:val="0"/>
    <w:rPr>
      <w:b/>
      <w:bCs/>
      <w:color w:val="333333"/>
    </w:rPr>
  </w:style>
  <w:style w:type="character" w:customStyle="1" w:styleId="109">
    <w:name w:val="批注文字 Char Char"/>
    <w:qFormat/>
    <w:uiPriority w:val="0"/>
    <w:rPr>
      <w:rFonts w:ascii="宋体" w:hAnsi="Times New Roman" w:eastAsia="宋体"/>
      <w:sz w:val="20"/>
    </w:rPr>
  </w:style>
  <w:style w:type="character" w:customStyle="1" w:styleId="110">
    <w:name w:val="normaltext1"/>
    <w:qFormat/>
    <w:uiPriority w:val="0"/>
    <w:rPr>
      <w:rFonts w:hint="default" w:ascii="ˎ̥" w:hAnsi="ˎ̥"/>
      <w:sz w:val="9"/>
      <w:szCs w:val="9"/>
    </w:rPr>
  </w:style>
  <w:style w:type="character" w:customStyle="1" w:styleId="111">
    <w:name w:val="Char Char24"/>
    <w:qFormat/>
    <w:uiPriority w:val="0"/>
    <w:rPr>
      <w:rFonts w:ascii="仿宋_GB2312" w:eastAsia="仿宋_GB2312"/>
      <w:b/>
      <w:sz w:val="28"/>
    </w:rPr>
  </w:style>
  <w:style w:type="character" w:customStyle="1" w:styleId="112">
    <w:name w:val="Subtle Reference1"/>
    <w:qFormat/>
    <w:uiPriority w:val="0"/>
    <w:rPr>
      <w:smallCaps/>
      <w:color w:val="C0504D"/>
      <w:u w:val="single"/>
    </w:rPr>
  </w:style>
  <w:style w:type="character" w:customStyle="1" w:styleId="113">
    <w:name w:val="手改 Char Char1"/>
    <w:qFormat/>
    <w:uiPriority w:val="0"/>
    <w:rPr>
      <w:kern w:val="2"/>
      <w:sz w:val="26"/>
      <w:szCs w:val="24"/>
    </w:rPr>
  </w:style>
  <w:style w:type="character" w:customStyle="1" w:styleId="114">
    <w:name w:val="明显参考1"/>
    <w:qFormat/>
    <w:uiPriority w:val="0"/>
    <w:rPr>
      <w:b/>
      <w:smallCaps/>
      <w:color w:val="C0504D"/>
      <w:spacing w:val="5"/>
      <w:u w:val="single"/>
    </w:rPr>
  </w:style>
  <w:style w:type="character" w:customStyle="1" w:styleId="115">
    <w:name w:val="Char Char111"/>
    <w:qFormat/>
    <w:uiPriority w:val="0"/>
    <w:rPr>
      <w:rFonts w:eastAsia="宋体" w:cs="Times New Roman"/>
      <w:kern w:val="2"/>
      <w:sz w:val="18"/>
      <w:szCs w:val="18"/>
      <w:lang w:val="en-US" w:eastAsia="zh-CN" w:bidi="ar-SA"/>
    </w:rPr>
  </w:style>
  <w:style w:type="character" w:customStyle="1" w:styleId="116">
    <w:name w:val="纯文本 Char1"/>
    <w:qFormat/>
    <w:uiPriority w:val="0"/>
    <w:rPr>
      <w:rFonts w:ascii="宋体" w:hAnsi="Courier New" w:eastAsia="宋体"/>
      <w:kern w:val="2"/>
      <w:sz w:val="28"/>
      <w:szCs w:val="28"/>
      <w:lang w:bidi="ar-SA"/>
    </w:rPr>
  </w:style>
  <w:style w:type="character" w:customStyle="1" w:styleId="117">
    <w:name w:val="Body Text Char"/>
    <w:qFormat/>
    <w:uiPriority w:val="0"/>
    <w:rPr>
      <w:rFonts w:ascii="Times New Roman" w:hAnsi="Times New Roman"/>
    </w:rPr>
  </w:style>
  <w:style w:type="character" w:customStyle="1" w:styleId="118">
    <w:name w:val="Char Char1"/>
    <w:qFormat/>
    <w:uiPriority w:val="0"/>
    <w:rPr>
      <w:rFonts w:ascii="宋体" w:eastAsia="宋体"/>
      <w:i/>
      <w:kern w:val="2"/>
      <w:sz w:val="24"/>
      <w:lang w:val="en-US" w:eastAsia="zh-CN"/>
    </w:rPr>
  </w:style>
  <w:style w:type="character" w:customStyle="1" w:styleId="119">
    <w:name w:val="Char Char15"/>
    <w:qFormat/>
    <w:uiPriority w:val="0"/>
    <w:rPr>
      <w:rFonts w:ascii="仿宋_GB2312" w:eastAsia="仿宋_GB2312"/>
      <w:b/>
      <w:spacing w:val="1"/>
      <w:w w:val="99"/>
      <w:sz w:val="32"/>
    </w:rPr>
  </w:style>
  <w:style w:type="character" w:customStyle="1" w:styleId="120">
    <w:name w:val="批注主题 Char Char Char"/>
    <w:qFormat/>
    <w:uiPriority w:val="0"/>
    <w:rPr>
      <w:rFonts w:ascii="宋体" w:hAnsi="宋体" w:eastAsia="仿宋_GB2312" w:cs="MingLiU"/>
      <w:b/>
      <w:spacing w:val="1"/>
      <w:w w:val="99"/>
      <w:kern w:val="2"/>
      <w:sz w:val="24"/>
      <w:szCs w:val="28"/>
      <w:lang w:val="en-US" w:eastAsia="zh-CN" w:bidi="ar-SA"/>
    </w:rPr>
  </w:style>
  <w:style w:type="character" w:customStyle="1" w:styleId="121">
    <w:name w:val="Heading 3 Char"/>
    <w:qFormat/>
    <w:uiPriority w:val="0"/>
    <w:rPr>
      <w:b/>
      <w:kern w:val="2"/>
      <w:sz w:val="32"/>
    </w:rPr>
  </w:style>
  <w:style w:type="character" w:customStyle="1" w:styleId="122">
    <w:name w:val="HTML 预设格式 Char2"/>
    <w:semiHidden/>
    <w:qFormat/>
    <w:uiPriority w:val="99"/>
    <w:rPr>
      <w:rFonts w:ascii="Courier New" w:hAnsi="Courier New" w:eastAsia="宋体" w:cs="Courier New"/>
      <w:sz w:val="20"/>
      <w:szCs w:val="20"/>
    </w:rPr>
  </w:style>
  <w:style w:type="character" w:customStyle="1" w:styleId="123">
    <w:name w:val="Plain Text Char"/>
    <w:qFormat/>
    <w:locked/>
    <w:uiPriority w:val="0"/>
    <w:rPr>
      <w:rFonts w:ascii="宋体" w:hAnsi="Courier New"/>
      <w:sz w:val="21"/>
    </w:rPr>
  </w:style>
  <w:style w:type="character" w:customStyle="1" w:styleId="124">
    <w:name w:val="正文首行缩进 Char1"/>
    <w:semiHidden/>
    <w:qFormat/>
    <w:uiPriority w:val="99"/>
  </w:style>
  <w:style w:type="character" w:customStyle="1" w:styleId="125">
    <w:name w:val="正文文本 Char3"/>
    <w:semiHidden/>
    <w:qFormat/>
    <w:uiPriority w:val="99"/>
    <w:rPr>
      <w:rFonts w:ascii="Times New Roman" w:hAnsi="Times New Roman" w:eastAsia="宋体" w:cs="Times New Roman"/>
      <w:szCs w:val="24"/>
    </w:rPr>
  </w:style>
  <w:style w:type="character" w:customStyle="1" w:styleId="126">
    <w:name w:val="标题 3 Char1"/>
    <w:qFormat/>
    <w:locked/>
    <w:uiPriority w:val="0"/>
    <w:rPr>
      <w:rFonts w:cs="Times New Roman"/>
      <w:b/>
      <w:bCs/>
      <w:sz w:val="32"/>
      <w:szCs w:val="32"/>
    </w:rPr>
  </w:style>
  <w:style w:type="character" w:customStyle="1" w:styleId="127">
    <w:name w:val="title11"/>
    <w:qFormat/>
    <w:uiPriority w:val="0"/>
    <w:rPr>
      <w:b/>
      <w:bCs/>
      <w:color w:val="FFFFFF"/>
      <w:sz w:val="11"/>
      <w:szCs w:val="11"/>
    </w:rPr>
  </w:style>
  <w:style w:type="character" w:customStyle="1" w:styleId="128">
    <w:name w:val="Char Char37"/>
    <w:qFormat/>
    <w:uiPriority w:val="0"/>
    <w:rPr>
      <w:rFonts w:ascii="仿宋_GB2312" w:eastAsia="仿宋_GB2312" w:cs="MingLiU"/>
      <w:b/>
      <w:spacing w:val="1"/>
      <w:w w:val="99"/>
      <w:sz w:val="28"/>
      <w:szCs w:val="32"/>
      <w:lang w:val="en-US" w:eastAsia="zh-CN" w:bidi="ar-SA"/>
    </w:rPr>
  </w:style>
  <w:style w:type="character" w:customStyle="1" w:styleId="129">
    <w:name w:val="Heading 1 Char"/>
    <w:qFormat/>
    <w:uiPriority w:val="0"/>
    <w:rPr>
      <w:b/>
      <w:kern w:val="44"/>
      <w:sz w:val="44"/>
    </w:rPr>
  </w:style>
  <w:style w:type="character" w:customStyle="1" w:styleId="130">
    <w:name w:val="批注框文本 Char"/>
    <w:qFormat/>
    <w:uiPriority w:val="0"/>
    <w:rPr>
      <w:rFonts w:ascii="Tahoma" w:hAnsi="Tahoma"/>
      <w:kern w:val="2"/>
      <w:sz w:val="18"/>
    </w:rPr>
  </w:style>
  <w:style w:type="character" w:customStyle="1" w:styleId="131">
    <w:name w:val="headline-content2"/>
    <w:qFormat/>
    <w:uiPriority w:val="0"/>
    <w:rPr>
      <w:rFonts w:cs="Times New Roman"/>
    </w:rPr>
  </w:style>
  <w:style w:type="character" w:customStyle="1" w:styleId="132">
    <w:name w:val="页眉 Char1"/>
    <w:qFormat/>
    <w:uiPriority w:val="99"/>
    <w:rPr>
      <w:kern w:val="2"/>
      <w:sz w:val="18"/>
      <w:szCs w:val="18"/>
    </w:rPr>
  </w:style>
  <w:style w:type="character" w:customStyle="1" w:styleId="133">
    <w:name w:val="ca-53"/>
    <w:qFormat/>
    <w:uiPriority w:val="0"/>
    <w:rPr>
      <w:rFonts w:hint="eastAsia" w:ascii="仿宋_GB2312" w:eastAsia="仿宋_GB2312"/>
      <w:sz w:val="28"/>
      <w:szCs w:val="28"/>
    </w:rPr>
  </w:style>
  <w:style w:type="character" w:customStyle="1" w:styleId="134">
    <w:name w:val="Char Char121"/>
    <w:qFormat/>
    <w:uiPriority w:val="0"/>
    <w:rPr>
      <w:rFonts w:ascii="仿宋_GB2312" w:eastAsia="仿宋_GB2312"/>
      <w:b/>
      <w:spacing w:val="1"/>
      <w:w w:val="99"/>
      <w:sz w:val="32"/>
      <w:lang w:val="en-US" w:eastAsia="zh-CN"/>
    </w:rPr>
  </w:style>
  <w:style w:type="character" w:customStyle="1" w:styleId="135">
    <w:name w:val="subhead1"/>
    <w:qFormat/>
    <w:uiPriority w:val="0"/>
    <w:rPr>
      <w:rFonts w:hint="default" w:ascii="Tahoma" w:hAnsi="Tahoma" w:cs="Tahoma"/>
      <w:color w:val="000000"/>
      <w:sz w:val="18"/>
      <w:szCs w:val="18"/>
      <w:u w:val="none"/>
      <w:shd w:val="clear" w:color="auto" w:fill="FFFFFF"/>
    </w:rPr>
  </w:style>
  <w:style w:type="character" w:customStyle="1" w:styleId="136">
    <w:name w:val="Char Char11"/>
    <w:qFormat/>
    <w:uiPriority w:val="0"/>
    <w:rPr>
      <w:rFonts w:eastAsia="黑体"/>
      <w:kern w:val="2"/>
      <w:sz w:val="44"/>
      <w:szCs w:val="44"/>
      <w:lang w:val="en-US" w:eastAsia="zh-CN" w:bidi="ar-SA"/>
    </w:rPr>
  </w:style>
  <w:style w:type="character" w:customStyle="1" w:styleId="137">
    <w:name w:val="Char Char27"/>
    <w:qFormat/>
    <w:uiPriority w:val="0"/>
    <w:rPr>
      <w:rFonts w:ascii="仿宋_GB2312" w:eastAsia="仿宋_GB2312" w:cs="MingLiU"/>
      <w:b/>
      <w:spacing w:val="1"/>
      <w:w w:val="99"/>
      <w:sz w:val="28"/>
      <w:szCs w:val="32"/>
      <w:lang w:val="en-US" w:eastAsia="zh-CN" w:bidi="ar-SA"/>
    </w:rPr>
  </w:style>
  <w:style w:type="character" w:customStyle="1" w:styleId="138">
    <w:name w:val="文档结构图 Char3"/>
    <w:semiHidden/>
    <w:qFormat/>
    <w:uiPriority w:val="99"/>
    <w:rPr>
      <w:rFonts w:ascii="宋体" w:hAnsi="Times New Roman" w:eastAsia="宋体" w:cs="Times New Roman"/>
      <w:sz w:val="18"/>
      <w:szCs w:val="18"/>
    </w:rPr>
  </w:style>
  <w:style w:type="character" w:customStyle="1" w:styleId="139">
    <w:name w:val="明显引用 Char1"/>
    <w:qFormat/>
    <w:uiPriority w:val="30"/>
    <w:rPr>
      <w:rFonts w:ascii="Times New Roman" w:hAnsi="Times New Roman" w:eastAsia="宋体" w:cs="Times New Roman"/>
      <w:i/>
      <w:iCs/>
      <w:color w:val="5B9BD5"/>
      <w:sz w:val="24"/>
      <w:szCs w:val="24"/>
    </w:rPr>
  </w:style>
  <w:style w:type="character" w:customStyle="1" w:styleId="140">
    <w:name w:val="正文文本缩进 2 Char1"/>
    <w:qFormat/>
    <w:uiPriority w:val="0"/>
    <w:rPr>
      <w:rFonts w:ascii="Times New Roman" w:hAnsi="Times New Roman" w:eastAsia="宋体" w:cs="Times New Roman"/>
      <w:szCs w:val="24"/>
    </w:rPr>
  </w:style>
  <w:style w:type="character" w:customStyle="1" w:styleId="141">
    <w:name w:val="Date Char"/>
    <w:qFormat/>
    <w:uiPriority w:val="0"/>
    <w:rPr>
      <w:rFonts w:ascii="宋体" w:hAnsi="Times New Roman"/>
      <w:sz w:val="28"/>
    </w:rPr>
  </w:style>
  <w:style w:type="character" w:customStyle="1" w:styleId="142">
    <w:name w:val="不明显强调1"/>
    <w:qFormat/>
    <w:uiPriority w:val="0"/>
    <w:rPr>
      <w:i/>
      <w:color w:val="808080"/>
    </w:rPr>
  </w:style>
  <w:style w:type="character" w:customStyle="1" w:styleId="143">
    <w:name w:val="Char Char13"/>
    <w:qFormat/>
    <w:uiPriority w:val="0"/>
    <w:rPr>
      <w:rFonts w:ascii="仿宋_GB2312" w:eastAsia="仿宋_GB2312"/>
      <w:b/>
      <w:sz w:val="28"/>
    </w:rPr>
  </w:style>
  <w:style w:type="character" w:customStyle="1" w:styleId="144">
    <w:name w:val="Char Char56"/>
    <w:qFormat/>
    <w:uiPriority w:val="0"/>
    <w:rPr>
      <w:rFonts w:ascii="仿宋_GB2312" w:eastAsia="仿宋_GB2312" w:cs="MingLiU"/>
      <w:b/>
      <w:kern w:val="2"/>
      <w:sz w:val="24"/>
      <w:szCs w:val="28"/>
      <w:lang w:val="en-US" w:eastAsia="zh-CN" w:bidi="ar-SA"/>
    </w:rPr>
  </w:style>
  <w:style w:type="character" w:customStyle="1" w:styleId="145">
    <w:name w:val="Header Char"/>
    <w:qFormat/>
    <w:uiPriority w:val="0"/>
    <w:rPr>
      <w:kern w:val="2"/>
      <w:sz w:val="18"/>
    </w:rPr>
  </w:style>
  <w:style w:type="character" w:customStyle="1" w:styleId="146">
    <w:name w:val="Char Char4"/>
    <w:qFormat/>
    <w:uiPriority w:val="0"/>
    <w:rPr>
      <w:rFonts w:ascii="宋体" w:hAnsi="Courier New" w:eastAsia="宋体"/>
      <w:kern w:val="2"/>
      <w:sz w:val="28"/>
      <w:szCs w:val="28"/>
      <w:lang w:val="en-US" w:eastAsia="zh-CN" w:bidi="ar-SA"/>
    </w:rPr>
  </w:style>
  <w:style w:type="character" w:customStyle="1" w:styleId="147">
    <w:name w:val="引用 字符1"/>
    <w:link w:val="148"/>
    <w:qFormat/>
    <w:uiPriority w:val="99"/>
    <w:rPr>
      <w:i/>
      <w:iCs/>
      <w:color w:val="000000"/>
    </w:rPr>
  </w:style>
  <w:style w:type="paragraph" w:styleId="148">
    <w:name w:val="Quote"/>
    <w:basedOn w:val="1"/>
    <w:next w:val="1"/>
    <w:link w:val="147"/>
    <w:qFormat/>
    <w:uiPriority w:val="0"/>
    <w:rPr>
      <w:rFonts w:ascii="Calibri" w:hAnsi="Calibri"/>
      <w:i/>
      <w:iCs/>
      <w:color w:val="000000"/>
      <w:kern w:val="0"/>
      <w:sz w:val="20"/>
      <w:szCs w:val="20"/>
    </w:rPr>
  </w:style>
  <w:style w:type="character" w:customStyle="1" w:styleId="149">
    <w:name w:val="正文文本缩进 Char"/>
    <w:qFormat/>
    <w:uiPriority w:val="0"/>
    <w:rPr>
      <w:rFonts w:eastAsia="宋体"/>
      <w:kern w:val="2"/>
      <w:sz w:val="21"/>
      <w:szCs w:val="24"/>
      <w:lang w:val="en-US" w:eastAsia="zh-CN" w:bidi="ar-SA"/>
    </w:rPr>
  </w:style>
  <w:style w:type="character" w:customStyle="1" w:styleId="150">
    <w:name w:val="正文文本 Char1"/>
    <w:qFormat/>
    <w:uiPriority w:val="0"/>
    <w:rPr>
      <w:kern w:val="2"/>
      <w:sz w:val="22"/>
    </w:rPr>
  </w:style>
  <w:style w:type="character" w:customStyle="1" w:styleId="151">
    <w:name w:val="Char Char16"/>
    <w:qFormat/>
    <w:uiPriority w:val="0"/>
    <w:rPr>
      <w:rFonts w:ascii="Tahoma" w:hAnsi="Tahoma" w:eastAsia="黑体"/>
      <w:kern w:val="2"/>
      <w:sz w:val="44"/>
    </w:rPr>
  </w:style>
  <w:style w:type="character" w:customStyle="1" w:styleId="152">
    <w:name w:val="Char Char151"/>
    <w:qFormat/>
    <w:uiPriority w:val="0"/>
    <w:rPr>
      <w:kern w:val="2"/>
      <w:sz w:val="21"/>
      <w:szCs w:val="24"/>
    </w:rPr>
  </w:style>
  <w:style w:type="character" w:customStyle="1" w:styleId="153">
    <w:name w:val="Intense Reference1"/>
    <w:qFormat/>
    <w:uiPriority w:val="0"/>
    <w:rPr>
      <w:b/>
      <w:smallCaps/>
      <w:color w:val="C0504D"/>
      <w:spacing w:val="5"/>
      <w:u w:val="single"/>
    </w:rPr>
  </w:style>
  <w:style w:type="character" w:customStyle="1" w:styleId="154">
    <w:name w:val="Char Char38"/>
    <w:qFormat/>
    <w:uiPriority w:val="0"/>
    <w:rPr>
      <w:rFonts w:eastAsia="宋体"/>
      <w:b/>
      <w:bCs/>
      <w:kern w:val="44"/>
      <w:sz w:val="44"/>
      <w:szCs w:val="44"/>
      <w:lang w:val="en-US" w:eastAsia="zh-CN" w:bidi="ar-SA"/>
    </w:rPr>
  </w:style>
  <w:style w:type="character" w:customStyle="1" w:styleId="155">
    <w:name w:val="批注主题 Char Char"/>
    <w:qFormat/>
    <w:uiPriority w:val="0"/>
    <w:rPr>
      <w:rFonts w:ascii="宋体" w:hAnsi="宋体" w:eastAsia="仿宋_GB2312" w:cs="MingLiU"/>
      <w:b/>
      <w:bCs/>
      <w:kern w:val="2"/>
      <w:sz w:val="24"/>
      <w:szCs w:val="28"/>
      <w:lang w:val="en-US" w:eastAsia="zh-CN" w:bidi="ar-SA"/>
    </w:rPr>
  </w:style>
  <w:style w:type="character" w:customStyle="1" w:styleId="156">
    <w:name w:val="Intense Quote Char"/>
    <w:qFormat/>
    <w:locked/>
    <w:uiPriority w:val="0"/>
    <w:rPr>
      <w:b/>
      <w:i/>
      <w:color w:val="4F81BD"/>
    </w:rPr>
  </w:style>
  <w:style w:type="character" w:customStyle="1" w:styleId="157">
    <w:name w:val="Char Char31"/>
    <w:qFormat/>
    <w:uiPriority w:val="0"/>
    <w:rPr>
      <w:rFonts w:ascii="仿宋_GB2312" w:eastAsia="仿宋_GB2312" w:cs="MingLiU"/>
      <w:b/>
      <w:sz w:val="24"/>
      <w:szCs w:val="28"/>
      <w:lang w:val="en-US" w:eastAsia="zh-CN" w:bidi="ar-SA"/>
    </w:rPr>
  </w:style>
  <w:style w:type="character" w:customStyle="1" w:styleId="158">
    <w:name w:val="Char Char42"/>
    <w:qFormat/>
    <w:uiPriority w:val="0"/>
    <w:rPr>
      <w:rFonts w:eastAsia="宋体"/>
      <w:b/>
      <w:bCs/>
      <w:kern w:val="44"/>
      <w:sz w:val="44"/>
      <w:szCs w:val="44"/>
      <w:lang w:val="en-US" w:eastAsia="zh-CN" w:bidi="ar-SA"/>
    </w:rPr>
  </w:style>
  <w:style w:type="character" w:customStyle="1" w:styleId="159">
    <w:name w:val="副标题 Char"/>
    <w:qFormat/>
    <w:locked/>
    <w:uiPriority w:val="0"/>
    <w:rPr>
      <w:rFonts w:ascii="宋体" w:hAnsi="Courier New" w:eastAsia="宋体"/>
      <w:kern w:val="2"/>
      <w:sz w:val="28"/>
      <w:szCs w:val="28"/>
      <w:lang w:val="en-US" w:eastAsia="zh-CN" w:bidi="ar-SA"/>
    </w:rPr>
  </w:style>
  <w:style w:type="character" w:customStyle="1" w:styleId="160">
    <w:name w:val="批注文字 Char"/>
    <w:qFormat/>
    <w:uiPriority w:val="0"/>
    <w:rPr>
      <w:rFonts w:eastAsia="宋体"/>
      <w:kern w:val="2"/>
      <w:sz w:val="21"/>
      <w:szCs w:val="24"/>
      <w:lang w:val="en-US" w:eastAsia="zh-CN" w:bidi="ar-SA"/>
    </w:rPr>
  </w:style>
  <w:style w:type="character" w:customStyle="1" w:styleId="161">
    <w:name w:val="Char Char55"/>
    <w:qFormat/>
    <w:uiPriority w:val="0"/>
    <w:rPr>
      <w:rFonts w:ascii="仿宋_GB2312" w:eastAsia="仿宋_GB2312" w:cs="MingLiU"/>
      <w:b/>
      <w:kern w:val="2"/>
      <w:sz w:val="24"/>
      <w:szCs w:val="28"/>
      <w:lang w:val="en-US" w:eastAsia="zh-CN" w:bidi="ar-SA"/>
    </w:rPr>
  </w:style>
  <w:style w:type="character" w:customStyle="1" w:styleId="162">
    <w:name w:val="5号正文 Char"/>
    <w:link w:val="163"/>
    <w:qFormat/>
    <w:uiPriority w:val="0"/>
    <w:rPr>
      <w:rFonts w:ascii="宋体" w:hAnsi="宋体"/>
      <w:snapToGrid w:val="0"/>
      <w:kern w:val="2"/>
      <w:sz w:val="28"/>
      <w:szCs w:val="28"/>
      <w:lang w:val="en-US" w:eastAsia="zh-CN" w:bidi="ar-SA"/>
    </w:rPr>
  </w:style>
  <w:style w:type="paragraph" w:customStyle="1" w:styleId="163">
    <w:name w:val="5号正文"/>
    <w:link w:val="162"/>
    <w:qFormat/>
    <w:uiPriority w:val="0"/>
    <w:pPr>
      <w:widowControl w:val="0"/>
      <w:spacing w:line="520" w:lineRule="exact"/>
      <w:ind w:firstLine="560" w:firstLineChars="200"/>
      <w:jc w:val="both"/>
    </w:pPr>
    <w:rPr>
      <w:rFonts w:ascii="宋体" w:hAnsi="宋体" w:eastAsia="宋体" w:cs="Times New Roman"/>
      <w:snapToGrid w:val="0"/>
      <w:kern w:val="2"/>
      <w:sz w:val="28"/>
      <w:szCs w:val="28"/>
      <w:lang w:val="en-US" w:eastAsia="zh-CN" w:bidi="ar-SA"/>
    </w:rPr>
  </w:style>
  <w:style w:type="character" w:customStyle="1" w:styleId="164">
    <w:name w:val="书籍标题1"/>
    <w:qFormat/>
    <w:uiPriority w:val="0"/>
    <w:rPr>
      <w:b/>
      <w:smallCaps/>
      <w:spacing w:val="5"/>
    </w:rPr>
  </w:style>
  <w:style w:type="character" w:customStyle="1" w:styleId="165">
    <w:name w:val="日期 Char3"/>
    <w:semiHidden/>
    <w:qFormat/>
    <w:uiPriority w:val="99"/>
    <w:rPr>
      <w:rFonts w:ascii="Times New Roman" w:hAnsi="Times New Roman" w:eastAsia="宋体" w:cs="Times New Roman"/>
      <w:szCs w:val="24"/>
    </w:rPr>
  </w:style>
  <w:style w:type="character" w:customStyle="1" w:styleId="166">
    <w:name w:val="脚注文本 Char"/>
    <w:qFormat/>
    <w:uiPriority w:val="0"/>
    <w:rPr>
      <w:rFonts w:ascii="Tahoma" w:hAnsi="Tahoma"/>
      <w:kern w:val="2"/>
      <w:sz w:val="18"/>
    </w:rPr>
  </w:style>
  <w:style w:type="character" w:customStyle="1" w:styleId="167">
    <w:name w:val="标题 Char3"/>
    <w:qFormat/>
    <w:uiPriority w:val="0"/>
    <w:rPr>
      <w:rFonts w:ascii="Cambria" w:hAnsi="Cambria" w:eastAsia="宋体" w:cs="Times New Roman"/>
      <w:b/>
      <w:bCs/>
      <w:sz w:val="32"/>
      <w:szCs w:val="32"/>
    </w:rPr>
  </w:style>
  <w:style w:type="character" w:customStyle="1" w:styleId="168">
    <w:name w:val="正文文本缩进 3 Char1"/>
    <w:qFormat/>
    <w:uiPriority w:val="0"/>
    <w:rPr>
      <w:rFonts w:ascii="Times New Roman" w:hAnsi="Times New Roman" w:eastAsia="宋体" w:cs="Times New Roman"/>
      <w:sz w:val="16"/>
      <w:szCs w:val="16"/>
    </w:rPr>
  </w:style>
  <w:style w:type="character" w:customStyle="1" w:styleId="169">
    <w:name w:val="Char Char34"/>
    <w:qFormat/>
    <w:uiPriority w:val="0"/>
    <w:rPr>
      <w:rFonts w:eastAsia="仿宋_GB2312" w:cs="Times New Roman"/>
      <w:sz w:val="30"/>
      <w:lang w:val="en-US" w:eastAsia="zh-CN" w:bidi="ar-SA"/>
    </w:rPr>
  </w:style>
  <w:style w:type="character" w:customStyle="1" w:styleId="170">
    <w:name w:val="style121"/>
    <w:qFormat/>
    <w:uiPriority w:val="0"/>
    <w:rPr>
      <w:rFonts w:hint="eastAsia" w:ascii="宋体" w:hAnsi="宋体" w:eastAsia="宋体"/>
      <w:sz w:val="18"/>
      <w:szCs w:val="18"/>
    </w:rPr>
  </w:style>
  <w:style w:type="character" w:customStyle="1" w:styleId="171">
    <w:name w:val="style31"/>
    <w:qFormat/>
    <w:uiPriority w:val="0"/>
    <w:rPr>
      <w:sz w:val="10"/>
      <w:szCs w:val="10"/>
    </w:rPr>
  </w:style>
  <w:style w:type="character" w:customStyle="1" w:styleId="172">
    <w:name w:val="Heading 4 Char"/>
    <w:qFormat/>
    <w:uiPriority w:val="0"/>
    <w:rPr>
      <w:rFonts w:ascii="Cambria" w:hAnsi="Cambria" w:eastAsia="宋体"/>
      <w:b/>
      <w:kern w:val="2"/>
      <w:sz w:val="28"/>
    </w:rPr>
  </w:style>
  <w:style w:type="character" w:customStyle="1" w:styleId="173">
    <w:name w:val="标题5 Char Char"/>
    <w:link w:val="174"/>
    <w:qFormat/>
    <w:uiPriority w:val="0"/>
    <w:rPr>
      <w:rFonts w:ascii="Arial" w:hAnsi="Arial"/>
      <w:b/>
      <w:bCs/>
      <w:sz w:val="24"/>
      <w:szCs w:val="32"/>
    </w:rPr>
  </w:style>
  <w:style w:type="paragraph" w:customStyle="1" w:styleId="174">
    <w:name w:val="标题5"/>
    <w:basedOn w:val="5"/>
    <w:link w:val="173"/>
    <w:qFormat/>
    <w:uiPriority w:val="0"/>
    <w:pPr>
      <w:keepNext/>
      <w:keepLines/>
      <w:autoSpaceDE/>
      <w:autoSpaceDN/>
      <w:adjustRightInd/>
      <w:spacing w:before="260" w:after="260" w:line="413" w:lineRule="auto"/>
      <w:jc w:val="both"/>
    </w:pPr>
    <w:rPr>
      <w:rFonts w:ascii="Arial" w:hAnsi="Arial" w:eastAsia="宋体"/>
      <w:bCs/>
      <w:szCs w:val="32"/>
    </w:rPr>
  </w:style>
  <w:style w:type="character" w:customStyle="1" w:styleId="175">
    <w:name w:val="文档结构图 Char"/>
    <w:qFormat/>
    <w:locked/>
    <w:uiPriority w:val="0"/>
    <w:rPr>
      <w:rFonts w:eastAsia="宋体"/>
      <w:kern w:val="2"/>
      <w:sz w:val="21"/>
      <w:szCs w:val="24"/>
      <w:lang w:val="en-US" w:eastAsia="zh-CN" w:bidi="ar-SA"/>
    </w:rPr>
  </w:style>
  <w:style w:type="character" w:customStyle="1" w:styleId="176">
    <w:name w:val="ht1"/>
    <w:qFormat/>
    <w:uiPriority w:val="0"/>
    <w:rPr>
      <w:rFonts w:ascii="黑体" w:eastAsia="黑体"/>
      <w:b/>
      <w:bCs/>
    </w:rPr>
  </w:style>
  <w:style w:type="character" w:customStyle="1" w:styleId="177">
    <w:name w:val="引用 Char"/>
    <w:link w:val="178"/>
    <w:qFormat/>
    <w:uiPriority w:val="0"/>
    <w:rPr>
      <w:i/>
      <w:iCs/>
      <w:color w:val="000000"/>
      <w:kern w:val="2"/>
      <w:sz w:val="21"/>
      <w:szCs w:val="22"/>
      <w:lang w:bidi="ar-SA"/>
    </w:rPr>
  </w:style>
  <w:style w:type="paragraph" w:customStyle="1" w:styleId="178">
    <w:name w:val="引用2"/>
    <w:basedOn w:val="1"/>
    <w:next w:val="1"/>
    <w:link w:val="177"/>
    <w:qFormat/>
    <w:uiPriority w:val="0"/>
    <w:rPr>
      <w:i/>
      <w:iCs/>
      <w:color w:val="000000"/>
      <w:szCs w:val="22"/>
    </w:rPr>
  </w:style>
  <w:style w:type="character" w:customStyle="1" w:styleId="179">
    <w:name w:val="Footer Char_cfbf6d26-7bc6-49eb-ba93-4e5159082891"/>
    <w:qFormat/>
    <w:uiPriority w:val="0"/>
    <w:rPr>
      <w:rFonts w:ascii="宋体" w:eastAsia="宋体"/>
      <w:kern w:val="2"/>
      <w:sz w:val="20"/>
      <w:lang w:val="en-US" w:eastAsia="zh-CN"/>
    </w:rPr>
  </w:style>
  <w:style w:type="character" w:customStyle="1" w:styleId="180">
    <w:name w:val="Char Char101"/>
    <w:qFormat/>
    <w:uiPriority w:val="0"/>
    <w:rPr>
      <w:rFonts w:ascii="宋体" w:hAnsi="Times New Roman" w:eastAsia="宋体" w:cs="Times New Roman"/>
      <w:sz w:val="20"/>
    </w:rPr>
  </w:style>
  <w:style w:type="character" w:customStyle="1" w:styleId="181">
    <w:name w:val="Char Char23"/>
    <w:qFormat/>
    <w:uiPriority w:val="0"/>
    <w:rPr>
      <w:rFonts w:ascii="Cambria" w:hAnsi="Cambria" w:eastAsia="宋体" w:cs="Times New Roman"/>
      <w:b/>
      <w:bCs/>
      <w:kern w:val="2"/>
      <w:sz w:val="32"/>
      <w:szCs w:val="32"/>
    </w:rPr>
  </w:style>
  <w:style w:type="character" w:customStyle="1" w:styleId="182">
    <w:name w:val="Char Char241"/>
    <w:qFormat/>
    <w:uiPriority w:val="0"/>
    <w:rPr>
      <w:b/>
      <w:bCs/>
      <w:kern w:val="44"/>
      <w:sz w:val="44"/>
      <w:szCs w:val="44"/>
    </w:rPr>
  </w:style>
  <w:style w:type="character" w:customStyle="1" w:styleId="183">
    <w:name w:val="脚注文本 Char3"/>
    <w:qFormat/>
    <w:uiPriority w:val="0"/>
    <w:rPr>
      <w:rFonts w:ascii="Times New Roman" w:hAnsi="Times New Roman" w:eastAsia="宋体" w:cs="Times New Roman"/>
      <w:sz w:val="18"/>
      <w:szCs w:val="18"/>
    </w:rPr>
  </w:style>
  <w:style w:type="character" w:customStyle="1" w:styleId="184">
    <w:name w:val="普通文字 Char Char1"/>
    <w:qFormat/>
    <w:uiPriority w:val="0"/>
    <w:rPr>
      <w:rFonts w:ascii="宋体" w:hAnsi="Courier New" w:eastAsia="宋体"/>
      <w:kern w:val="2"/>
      <w:sz w:val="28"/>
      <w:szCs w:val="28"/>
      <w:lang w:bidi="ar-SA"/>
    </w:rPr>
  </w:style>
  <w:style w:type="character" w:customStyle="1" w:styleId="185">
    <w:name w:val="Char Char35"/>
    <w:qFormat/>
    <w:uiPriority w:val="0"/>
    <w:rPr>
      <w:rFonts w:hAnsi="Arial" w:eastAsia="仿宋_GB2312"/>
      <w:sz w:val="30"/>
      <w:lang w:val="en-US" w:eastAsia="zh-CN" w:bidi="ar-SA"/>
    </w:rPr>
  </w:style>
  <w:style w:type="character" w:customStyle="1" w:styleId="186">
    <w:name w:val="ss16"/>
    <w:qFormat/>
    <w:uiPriority w:val="0"/>
    <w:rPr>
      <w:rFonts w:hint="eastAsia" w:ascii="宋体" w:hAnsi="宋体" w:eastAsia="宋体"/>
      <w:color w:val="000000"/>
      <w:sz w:val="9"/>
      <w:szCs w:val="9"/>
    </w:rPr>
  </w:style>
  <w:style w:type="character" w:customStyle="1" w:styleId="187">
    <w:name w:val="Char Char7"/>
    <w:qFormat/>
    <w:uiPriority w:val="0"/>
    <w:rPr>
      <w:rFonts w:ascii="宋体" w:eastAsia="宋体"/>
      <w:kern w:val="2"/>
      <w:sz w:val="18"/>
      <w:lang w:val="en-US" w:eastAsia="zh-CN"/>
    </w:rPr>
  </w:style>
  <w:style w:type="character" w:customStyle="1" w:styleId="188">
    <w:name w:val="引用 Char3"/>
    <w:qFormat/>
    <w:uiPriority w:val="29"/>
    <w:rPr>
      <w:rFonts w:ascii="Times New Roman" w:hAnsi="Times New Roman" w:eastAsia="宋体" w:cs="Times New Roman"/>
      <w:i/>
      <w:iCs/>
      <w:color w:val="000000"/>
      <w:szCs w:val="24"/>
    </w:rPr>
  </w:style>
  <w:style w:type="character" w:customStyle="1" w:styleId="189">
    <w:name w:val="批注主题 Char"/>
    <w:qFormat/>
    <w:uiPriority w:val="0"/>
    <w:rPr>
      <w:rFonts w:ascii="宋体" w:hAnsi="宋体" w:eastAsia="仿宋_GB2312" w:cs="MingLiU"/>
      <w:b/>
      <w:kern w:val="2"/>
      <w:sz w:val="24"/>
      <w:szCs w:val="28"/>
      <w:lang w:val="en-US" w:eastAsia="zh-CN" w:bidi="ar-SA"/>
    </w:rPr>
  </w:style>
  <w:style w:type="character" w:customStyle="1" w:styleId="190">
    <w:name w:val="Intense Quote Char Char"/>
    <w:link w:val="191"/>
    <w:qFormat/>
    <w:uiPriority w:val="0"/>
    <w:rPr>
      <w:b/>
      <w:i/>
      <w:color w:val="4F81BD"/>
      <w:sz w:val="22"/>
    </w:rPr>
  </w:style>
  <w:style w:type="paragraph" w:customStyle="1" w:styleId="191">
    <w:name w:val="Intense Quote1"/>
    <w:basedOn w:val="1"/>
    <w:next w:val="1"/>
    <w:link w:val="190"/>
    <w:qFormat/>
    <w:uiPriority w:val="0"/>
    <w:pPr>
      <w:pBdr>
        <w:bottom w:val="single" w:color="4F81BD" w:sz="4" w:space="4"/>
      </w:pBdr>
      <w:spacing w:before="200" w:after="280"/>
      <w:ind w:left="936" w:right="936"/>
    </w:pPr>
    <w:rPr>
      <w:rFonts w:ascii="Calibri" w:hAnsi="Calibri"/>
      <w:b/>
      <w:i/>
      <w:color w:val="4F81BD"/>
      <w:kern w:val="0"/>
      <w:sz w:val="22"/>
      <w:szCs w:val="20"/>
    </w:rPr>
  </w:style>
  <w:style w:type="character" w:customStyle="1" w:styleId="192">
    <w:name w:val="Footer Char"/>
    <w:qFormat/>
    <w:uiPriority w:val="0"/>
    <w:rPr>
      <w:kern w:val="2"/>
      <w:sz w:val="18"/>
    </w:rPr>
  </w:style>
  <w:style w:type="character" w:customStyle="1" w:styleId="193">
    <w:name w:val="14t1"/>
    <w:qFormat/>
    <w:uiPriority w:val="0"/>
    <w:rPr>
      <w:rFonts w:hint="eastAsia" w:ascii="宋体" w:hAnsi="宋体" w:eastAsia="宋体"/>
      <w:sz w:val="11"/>
      <w:szCs w:val="11"/>
    </w:rPr>
  </w:style>
  <w:style w:type="character" w:customStyle="1" w:styleId="194">
    <w:name w:val="Char Char32"/>
    <w:qFormat/>
    <w:uiPriority w:val="0"/>
    <w:rPr>
      <w:rFonts w:eastAsia="仿宋_GB2312"/>
      <w:sz w:val="30"/>
      <w:lang w:val="en-US" w:eastAsia="zh-CN" w:bidi="ar-SA"/>
    </w:rPr>
  </w:style>
  <w:style w:type="character" w:customStyle="1" w:styleId="195">
    <w:name w:val="Subtitle Char"/>
    <w:qFormat/>
    <w:uiPriority w:val="0"/>
    <w:rPr>
      <w:rFonts w:ascii="Cambria" w:hAnsi="Cambria"/>
      <w:b/>
      <w:kern w:val="28"/>
      <w:sz w:val="32"/>
    </w:rPr>
  </w:style>
  <w:style w:type="character" w:customStyle="1" w:styleId="196">
    <w:name w:val="批注文字 Char2"/>
    <w:qFormat/>
    <w:uiPriority w:val="0"/>
    <w:rPr>
      <w:rFonts w:eastAsia="宋体"/>
      <w:kern w:val="2"/>
      <w:sz w:val="21"/>
      <w:szCs w:val="24"/>
      <w:lang w:val="en-US" w:eastAsia="zh-CN" w:bidi="ar-SA"/>
    </w:rPr>
  </w:style>
  <w:style w:type="character" w:customStyle="1" w:styleId="197">
    <w:name w:val="普通文字 Char Char3"/>
    <w:qFormat/>
    <w:uiPriority w:val="0"/>
    <w:rPr>
      <w:rFonts w:ascii="宋体" w:hAnsi="Courier New" w:eastAsia="宋体"/>
      <w:kern w:val="2"/>
      <w:sz w:val="28"/>
      <w:szCs w:val="28"/>
      <w:lang w:bidi="ar-SA"/>
    </w:rPr>
  </w:style>
  <w:style w:type="character" w:customStyle="1" w:styleId="198">
    <w:name w:val="Intense Emphasis1"/>
    <w:qFormat/>
    <w:uiPriority w:val="0"/>
    <w:rPr>
      <w:b/>
      <w:i/>
      <w:color w:val="4F81BD"/>
    </w:rPr>
  </w:style>
  <w:style w:type="character" w:customStyle="1" w:styleId="199">
    <w:name w:val="样式1 Char Char"/>
    <w:link w:val="200"/>
    <w:qFormat/>
    <w:uiPriority w:val="0"/>
    <w:rPr>
      <w:rFonts w:ascii="宋体" w:hAnsi="宋体"/>
      <w:b/>
      <w:sz w:val="24"/>
    </w:rPr>
  </w:style>
  <w:style w:type="paragraph" w:customStyle="1" w:styleId="200">
    <w:name w:val="样式1"/>
    <w:basedOn w:val="1"/>
    <w:link w:val="199"/>
    <w:qFormat/>
    <w:uiPriority w:val="0"/>
    <w:pPr>
      <w:spacing w:before="120" w:after="120" w:line="300" w:lineRule="auto"/>
    </w:pPr>
    <w:rPr>
      <w:rFonts w:ascii="宋体" w:hAnsi="宋体"/>
      <w:b/>
      <w:kern w:val="0"/>
      <w:sz w:val="24"/>
      <w:szCs w:val="20"/>
    </w:rPr>
  </w:style>
  <w:style w:type="character" w:customStyle="1" w:styleId="201">
    <w:name w:val="Heading 2 Char"/>
    <w:qFormat/>
    <w:uiPriority w:val="0"/>
    <w:rPr>
      <w:rFonts w:ascii="Cambria" w:hAnsi="Cambria" w:eastAsia="宋体"/>
      <w:b/>
      <w:kern w:val="2"/>
      <w:sz w:val="32"/>
    </w:rPr>
  </w:style>
  <w:style w:type="character" w:customStyle="1" w:styleId="202">
    <w:name w:val="正文文本 2 Char"/>
    <w:qFormat/>
    <w:uiPriority w:val="0"/>
    <w:rPr>
      <w:rFonts w:ascii="Tahoma" w:hAnsi="Tahoma"/>
      <w:i/>
      <w:kern w:val="2"/>
      <w:sz w:val="24"/>
    </w:rPr>
  </w:style>
  <w:style w:type="character" w:customStyle="1" w:styleId="203">
    <w:name w:val="Char Char41"/>
    <w:qFormat/>
    <w:uiPriority w:val="0"/>
    <w:rPr>
      <w:rFonts w:ascii="仿宋_GB2312" w:eastAsia="仿宋_GB2312" w:cs="MingLiU"/>
      <w:b/>
      <w:spacing w:val="1"/>
      <w:w w:val="99"/>
      <w:sz w:val="28"/>
      <w:szCs w:val="32"/>
      <w:lang w:val="en-US" w:eastAsia="zh-CN" w:bidi="ar-SA"/>
    </w:rPr>
  </w:style>
  <w:style w:type="character" w:customStyle="1" w:styleId="204">
    <w:name w:val="main_tdbg_7601"/>
    <w:qFormat/>
    <w:uiPriority w:val="0"/>
    <w:rPr>
      <w:sz w:val="14"/>
      <w:szCs w:val="14"/>
    </w:rPr>
  </w:style>
  <w:style w:type="character" w:customStyle="1" w:styleId="205">
    <w:name w:val="Char Char28"/>
    <w:qFormat/>
    <w:uiPriority w:val="0"/>
    <w:rPr>
      <w:rFonts w:eastAsia="宋体"/>
      <w:b/>
      <w:bCs/>
      <w:kern w:val="44"/>
      <w:sz w:val="44"/>
      <w:szCs w:val="44"/>
      <w:lang w:val="en-US" w:eastAsia="zh-CN" w:bidi="ar-SA"/>
    </w:rPr>
  </w:style>
  <w:style w:type="character" w:customStyle="1" w:styleId="206">
    <w:name w:val="正文文本缩进 Char2"/>
    <w:semiHidden/>
    <w:qFormat/>
    <w:uiPriority w:val="99"/>
    <w:rPr>
      <w:rFonts w:ascii="Times New Roman" w:hAnsi="Times New Roman" w:eastAsia="宋体" w:cs="Times New Roman"/>
      <w:szCs w:val="24"/>
    </w:rPr>
  </w:style>
  <w:style w:type="character" w:customStyle="1" w:styleId="207">
    <w:name w:val="批注框文本 Char3"/>
    <w:semiHidden/>
    <w:qFormat/>
    <w:uiPriority w:val="99"/>
    <w:rPr>
      <w:rFonts w:ascii="Times New Roman" w:hAnsi="Times New Roman" w:eastAsia="宋体" w:cs="Times New Roman"/>
      <w:sz w:val="18"/>
      <w:szCs w:val="18"/>
    </w:rPr>
  </w:style>
  <w:style w:type="character" w:customStyle="1" w:styleId="208">
    <w:name w:val="color_red1"/>
    <w:qFormat/>
    <w:uiPriority w:val="0"/>
    <w:rPr>
      <w:color w:val="FA0004"/>
    </w:rPr>
  </w:style>
  <w:style w:type="character" w:customStyle="1" w:styleId="209">
    <w:name w:val="日期 Char1"/>
    <w:qFormat/>
    <w:uiPriority w:val="0"/>
    <w:rPr>
      <w:kern w:val="2"/>
      <w:sz w:val="22"/>
    </w:rPr>
  </w:style>
  <w:style w:type="character" w:customStyle="1" w:styleId="210">
    <w:name w:val="Char Char14"/>
    <w:qFormat/>
    <w:uiPriority w:val="0"/>
    <w:rPr>
      <w:kern w:val="2"/>
      <w:sz w:val="18"/>
      <w:szCs w:val="18"/>
    </w:rPr>
  </w:style>
  <w:style w:type="character" w:customStyle="1" w:styleId="211">
    <w:name w:val="style1"/>
    <w:qFormat/>
    <w:uiPriority w:val="0"/>
    <w:rPr>
      <w:rFonts w:cs="Times New Roman"/>
    </w:rPr>
  </w:style>
  <w:style w:type="character" w:customStyle="1" w:styleId="212">
    <w:name w:val="Char Char341"/>
    <w:qFormat/>
    <w:uiPriority w:val="0"/>
    <w:rPr>
      <w:rFonts w:eastAsia="仿宋_GB2312"/>
      <w:sz w:val="30"/>
      <w:lang w:val="en-US" w:eastAsia="zh-CN" w:bidi="ar-SA"/>
    </w:rPr>
  </w:style>
  <w:style w:type="character" w:customStyle="1" w:styleId="213">
    <w:name w:val="标题 Char1"/>
    <w:qFormat/>
    <w:uiPriority w:val="10"/>
    <w:rPr>
      <w:rFonts w:ascii="Calibri Light" w:hAnsi="Calibri Light" w:eastAsia="宋体" w:cs="Times New Roman"/>
      <w:b/>
      <w:bCs/>
      <w:sz w:val="32"/>
      <w:szCs w:val="32"/>
    </w:rPr>
  </w:style>
  <w:style w:type="character" w:customStyle="1" w:styleId="214">
    <w:name w:val="Char Char71"/>
    <w:qFormat/>
    <w:uiPriority w:val="0"/>
    <w:rPr>
      <w:rFonts w:eastAsia="宋体" w:cs="Times New Roman"/>
      <w:kern w:val="2"/>
      <w:sz w:val="18"/>
      <w:szCs w:val="18"/>
      <w:lang w:val="en-US" w:eastAsia="zh-CN" w:bidi="ar-SA"/>
    </w:rPr>
  </w:style>
  <w:style w:type="character" w:customStyle="1" w:styleId="215">
    <w:name w:val="Char Char9"/>
    <w:qFormat/>
    <w:uiPriority w:val="0"/>
    <w:rPr>
      <w:rFonts w:eastAsia="宋体"/>
      <w:kern w:val="2"/>
      <w:sz w:val="18"/>
      <w:szCs w:val="18"/>
      <w:lang w:val="en-US" w:eastAsia="zh-CN" w:bidi="ar-SA"/>
    </w:rPr>
  </w:style>
  <w:style w:type="character" w:customStyle="1" w:styleId="216">
    <w:name w:val="明显强调1"/>
    <w:qFormat/>
    <w:uiPriority w:val="0"/>
    <w:rPr>
      <w:b/>
      <w:i/>
      <w:color w:val="4F81BD"/>
    </w:rPr>
  </w:style>
  <w:style w:type="character" w:customStyle="1" w:styleId="217">
    <w:name w:val="引用 Char1"/>
    <w:qFormat/>
    <w:uiPriority w:val="29"/>
    <w:rPr>
      <w:rFonts w:ascii="Times New Roman" w:hAnsi="Times New Roman" w:eastAsia="宋体" w:cs="Times New Roman"/>
      <w:i/>
      <w:iCs/>
      <w:color w:val="404040"/>
      <w:sz w:val="24"/>
      <w:szCs w:val="24"/>
    </w:rPr>
  </w:style>
  <w:style w:type="character" w:customStyle="1" w:styleId="218">
    <w:name w:val="批注主题 Char2"/>
    <w:qFormat/>
    <w:locked/>
    <w:uiPriority w:val="99"/>
    <w:rPr>
      <w:rFonts w:eastAsia="宋体"/>
      <w:b/>
      <w:bCs/>
      <w:kern w:val="2"/>
      <w:sz w:val="21"/>
      <w:szCs w:val="24"/>
      <w:lang w:val="en-US" w:eastAsia="zh-CN" w:bidi="ar-SA"/>
    </w:rPr>
  </w:style>
  <w:style w:type="character" w:customStyle="1" w:styleId="219">
    <w:name w:val="NormalCharacter"/>
    <w:semiHidden/>
    <w:qFormat/>
    <w:uiPriority w:val="0"/>
  </w:style>
  <w:style w:type="character" w:customStyle="1" w:styleId="220">
    <w:name w:val="正文首行缩进 2 Char1"/>
    <w:semiHidden/>
    <w:qFormat/>
    <w:uiPriority w:val="99"/>
  </w:style>
  <w:style w:type="character" w:customStyle="1" w:styleId="221">
    <w:name w:val="Char Char40"/>
    <w:qFormat/>
    <w:uiPriority w:val="0"/>
    <w:rPr>
      <w:rFonts w:ascii="仿宋_GB2312" w:eastAsia="仿宋_GB2312" w:cs="MingLiU"/>
      <w:b/>
      <w:sz w:val="24"/>
      <w:szCs w:val="28"/>
      <w:lang w:val="en-US" w:eastAsia="zh-CN" w:bidi="ar-SA"/>
    </w:rPr>
  </w:style>
  <w:style w:type="character" w:customStyle="1" w:styleId="222">
    <w:name w:val="Char Char141"/>
    <w:qFormat/>
    <w:uiPriority w:val="0"/>
    <w:rPr>
      <w:rFonts w:ascii="仿宋_GB2312" w:eastAsia="仿宋_GB2312"/>
      <w:b/>
      <w:sz w:val="28"/>
    </w:rPr>
  </w:style>
  <w:style w:type="character" w:customStyle="1" w:styleId="223">
    <w:name w:val="纯文本 Char"/>
    <w:qFormat/>
    <w:uiPriority w:val="0"/>
    <w:rPr>
      <w:rFonts w:ascii="宋体" w:hAnsi="Courier New" w:eastAsia="宋体"/>
      <w:kern w:val="2"/>
      <w:sz w:val="28"/>
      <w:szCs w:val="28"/>
      <w:lang w:bidi="ar-SA"/>
    </w:rPr>
  </w:style>
  <w:style w:type="character" w:customStyle="1" w:styleId="224">
    <w:name w:val="Heading 8 Char"/>
    <w:qFormat/>
    <w:uiPriority w:val="0"/>
    <w:rPr>
      <w:rFonts w:ascii="Cambria" w:hAnsi="Cambria" w:eastAsia="宋体"/>
      <w:kern w:val="2"/>
      <w:sz w:val="24"/>
    </w:rPr>
  </w:style>
  <w:style w:type="character" w:customStyle="1" w:styleId="225">
    <w:name w:val="Char Char"/>
    <w:qFormat/>
    <w:locked/>
    <w:uiPriority w:val="0"/>
    <w:rPr>
      <w:rFonts w:ascii="宋体" w:hAnsi="宋体" w:eastAsia="宋体"/>
      <w:kern w:val="2"/>
      <w:sz w:val="18"/>
      <w:szCs w:val="18"/>
      <w:lang w:val="en-US" w:eastAsia="zh-CN" w:bidi="ar-SA"/>
    </w:rPr>
  </w:style>
  <w:style w:type="character" w:customStyle="1" w:styleId="226">
    <w:name w:val="Char Char3"/>
    <w:qFormat/>
    <w:uiPriority w:val="0"/>
    <w:rPr>
      <w:rFonts w:ascii="宋体" w:eastAsia="宋体"/>
      <w:kern w:val="2"/>
      <w:sz w:val="18"/>
      <w:lang w:val="en-US" w:eastAsia="zh-CN"/>
    </w:rPr>
  </w:style>
  <w:style w:type="character" w:customStyle="1" w:styleId="227">
    <w:name w:val="标题 4 Char Char"/>
    <w:qFormat/>
    <w:uiPriority w:val="0"/>
    <w:rPr>
      <w:rFonts w:ascii="仿宋_GB2312" w:eastAsia="仿宋_GB2312" w:cs="MingLiU"/>
      <w:b/>
      <w:sz w:val="24"/>
      <w:szCs w:val="28"/>
      <w:lang w:val="en-US" w:eastAsia="zh-CN" w:bidi="ar-SA"/>
    </w:rPr>
  </w:style>
  <w:style w:type="character" w:customStyle="1" w:styleId="228">
    <w:name w:val="Char Char26"/>
    <w:qFormat/>
    <w:uiPriority w:val="0"/>
    <w:rPr>
      <w:rFonts w:eastAsia="宋体"/>
      <w:b/>
      <w:bCs/>
      <w:kern w:val="44"/>
      <w:sz w:val="44"/>
      <w:szCs w:val="44"/>
      <w:lang w:val="en-US" w:eastAsia="zh-CN" w:bidi="ar-SA"/>
    </w:rPr>
  </w:style>
  <w:style w:type="character" w:customStyle="1" w:styleId="229">
    <w:name w:val="标题 1 Char1"/>
    <w:qFormat/>
    <w:locked/>
    <w:uiPriority w:val="0"/>
    <w:rPr>
      <w:rFonts w:cs="Times New Roman"/>
      <w:b/>
      <w:bCs/>
      <w:kern w:val="44"/>
      <w:sz w:val="44"/>
      <w:szCs w:val="44"/>
    </w:rPr>
  </w:style>
  <w:style w:type="character" w:customStyle="1" w:styleId="230">
    <w:name w:val="Heading 5 Char"/>
    <w:qFormat/>
    <w:uiPriority w:val="0"/>
    <w:rPr>
      <w:b/>
      <w:kern w:val="2"/>
      <w:sz w:val="28"/>
    </w:rPr>
  </w:style>
  <w:style w:type="character" w:customStyle="1" w:styleId="231">
    <w:name w:val="Char Char8"/>
    <w:qFormat/>
    <w:uiPriority w:val="0"/>
    <w:rPr>
      <w:rFonts w:ascii="仿宋_GB2312" w:eastAsia="仿宋_GB2312"/>
      <w:b/>
      <w:sz w:val="28"/>
      <w:lang w:val="en-US" w:eastAsia="zh-CN"/>
    </w:rPr>
  </w:style>
  <w:style w:type="character" w:customStyle="1" w:styleId="232">
    <w:name w:val="Char Char30"/>
    <w:qFormat/>
    <w:uiPriority w:val="0"/>
    <w:rPr>
      <w:rFonts w:eastAsia="宋体"/>
      <w:b/>
      <w:bCs/>
      <w:kern w:val="44"/>
      <w:sz w:val="44"/>
      <w:szCs w:val="44"/>
      <w:lang w:val="en-US" w:eastAsia="zh-CN" w:bidi="ar-SA"/>
    </w:rPr>
  </w:style>
  <w:style w:type="character" w:customStyle="1" w:styleId="233">
    <w:name w:val="Quote Char"/>
    <w:qFormat/>
    <w:locked/>
    <w:uiPriority w:val="0"/>
    <w:rPr>
      <w:i/>
      <w:color w:val="000000"/>
    </w:rPr>
  </w:style>
  <w:style w:type="character" w:customStyle="1" w:styleId="234">
    <w:name w:val="Char Char91"/>
    <w:qFormat/>
    <w:uiPriority w:val="0"/>
    <w:rPr>
      <w:rFonts w:ascii="仿宋_GB2312" w:eastAsia="仿宋_GB2312" w:cs="MingLiU"/>
      <w:b/>
      <w:sz w:val="24"/>
      <w:szCs w:val="28"/>
      <w:lang w:val="en-US" w:eastAsia="zh-CN" w:bidi="ar-SA"/>
    </w:rPr>
  </w:style>
  <w:style w:type="character" w:customStyle="1" w:styleId="235">
    <w:name w:val="Char Char48"/>
    <w:qFormat/>
    <w:uiPriority w:val="0"/>
    <w:rPr>
      <w:rFonts w:eastAsia="宋体"/>
      <w:kern w:val="2"/>
      <w:sz w:val="21"/>
      <w:szCs w:val="24"/>
      <w:lang w:val="en-US" w:eastAsia="zh-CN" w:bidi="ar-SA"/>
    </w:rPr>
  </w:style>
  <w:style w:type="character" w:customStyle="1" w:styleId="236">
    <w:name w:val="Char Char22"/>
    <w:qFormat/>
    <w:uiPriority w:val="0"/>
    <w:rPr>
      <w:b/>
      <w:bCs/>
      <w:kern w:val="2"/>
      <w:sz w:val="32"/>
      <w:szCs w:val="32"/>
    </w:rPr>
  </w:style>
  <w:style w:type="character" w:customStyle="1" w:styleId="237">
    <w:name w:val="脚注文本 Char1"/>
    <w:qFormat/>
    <w:locked/>
    <w:uiPriority w:val="0"/>
    <w:rPr>
      <w:rFonts w:ascii="Arial" w:hAnsi="Arial" w:cs="Times New Roman"/>
      <w:sz w:val="18"/>
      <w:lang w:eastAsia="en-US"/>
    </w:rPr>
  </w:style>
  <w:style w:type="character" w:customStyle="1" w:styleId="238">
    <w:name w:val="正文文本 3 Char1"/>
    <w:qFormat/>
    <w:uiPriority w:val="0"/>
    <w:rPr>
      <w:rFonts w:ascii="Times New Roman" w:hAnsi="Times New Roman" w:eastAsia="宋体" w:cs="Times New Roman"/>
      <w:sz w:val="16"/>
      <w:szCs w:val="16"/>
    </w:rPr>
  </w:style>
  <w:style w:type="character" w:customStyle="1" w:styleId="239">
    <w:name w:val="ca-141"/>
    <w:qFormat/>
    <w:uiPriority w:val="0"/>
    <w:rPr>
      <w:rFonts w:hint="eastAsia" w:ascii="仿宋_GB2312" w:eastAsia="仿宋_GB2312"/>
      <w:sz w:val="21"/>
      <w:szCs w:val="21"/>
    </w:rPr>
  </w:style>
  <w:style w:type="character" w:customStyle="1" w:styleId="240">
    <w:name w:val="Subtle Emphasis1"/>
    <w:qFormat/>
    <w:uiPriority w:val="0"/>
    <w:rPr>
      <w:i/>
      <w:color w:val="808080"/>
    </w:rPr>
  </w:style>
  <w:style w:type="character" w:customStyle="1" w:styleId="241">
    <w:name w:val="Char Char5"/>
    <w:qFormat/>
    <w:uiPriority w:val="0"/>
    <w:rPr>
      <w:rFonts w:ascii="宋体" w:eastAsia="宋体"/>
      <w:kern w:val="2"/>
      <w:sz w:val="18"/>
      <w:lang w:val="en-US" w:eastAsia="zh-CN"/>
    </w:rPr>
  </w:style>
  <w:style w:type="character" w:customStyle="1" w:styleId="242">
    <w:name w:val="Heading 6 Char"/>
    <w:qFormat/>
    <w:uiPriority w:val="0"/>
    <w:rPr>
      <w:rFonts w:ascii="Cambria" w:hAnsi="Cambria" w:eastAsia="宋体"/>
      <w:b/>
      <w:kern w:val="2"/>
      <w:sz w:val="24"/>
    </w:rPr>
  </w:style>
  <w:style w:type="character" w:customStyle="1" w:styleId="243">
    <w:name w:val="0d1471"/>
    <w:qFormat/>
    <w:uiPriority w:val="0"/>
    <w:rPr>
      <w:color w:val="000000"/>
      <w:sz w:val="11"/>
      <w:szCs w:val="11"/>
      <w:u w:val="none"/>
    </w:rPr>
  </w:style>
  <w:style w:type="character" w:customStyle="1" w:styleId="244">
    <w:name w:val="Comment Text Char"/>
    <w:qFormat/>
    <w:uiPriority w:val="0"/>
    <w:rPr>
      <w:kern w:val="2"/>
      <w:sz w:val="22"/>
    </w:rPr>
  </w:style>
  <w:style w:type="character" w:customStyle="1" w:styleId="245">
    <w:name w:val="明显引用 Char"/>
    <w:qFormat/>
    <w:uiPriority w:val="0"/>
    <w:rPr>
      <w:b/>
      <w:bCs/>
      <w:i/>
      <w:iCs/>
      <w:color w:val="4F81BD"/>
      <w:kern w:val="2"/>
      <w:sz w:val="21"/>
      <w:szCs w:val="22"/>
      <w:lang w:bidi="ar-SA"/>
    </w:rPr>
  </w:style>
  <w:style w:type="character" w:customStyle="1" w:styleId="246">
    <w:name w:val="协议段落 Char Char"/>
    <w:qFormat/>
    <w:uiPriority w:val="0"/>
    <w:rPr>
      <w:rFonts w:ascii="宋体" w:eastAsia="宋体"/>
      <w:kern w:val="2"/>
      <w:sz w:val="24"/>
      <w:lang w:val="en-US" w:eastAsia="zh-CN"/>
    </w:rPr>
  </w:style>
  <w:style w:type="character" w:customStyle="1" w:styleId="247">
    <w:name w:val="正文1 Char"/>
    <w:qFormat/>
    <w:uiPriority w:val="0"/>
    <w:rPr>
      <w:rFonts w:ascii="宋体" w:eastAsia="宋体"/>
      <w:sz w:val="20"/>
      <w:lang w:val="en-US" w:eastAsia="zh-CN"/>
    </w:rPr>
  </w:style>
  <w:style w:type="character" w:customStyle="1" w:styleId="248">
    <w:name w:val="页脚 Char1"/>
    <w:qFormat/>
    <w:uiPriority w:val="99"/>
    <w:rPr>
      <w:kern w:val="2"/>
      <w:sz w:val="18"/>
      <w:szCs w:val="18"/>
    </w:rPr>
  </w:style>
  <w:style w:type="character" w:customStyle="1" w:styleId="249">
    <w:name w:val="Char Char33"/>
    <w:qFormat/>
    <w:uiPriority w:val="0"/>
    <w:rPr>
      <w:rFonts w:hAnsi="Arial" w:eastAsia="仿宋_GB2312"/>
      <w:sz w:val="30"/>
      <w:lang w:val="en-US" w:eastAsia="zh-CN" w:bidi="ar-SA"/>
    </w:rPr>
  </w:style>
  <w:style w:type="character" w:customStyle="1" w:styleId="250">
    <w:name w:val="副标题 Char3"/>
    <w:qFormat/>
    <w:uiPriority w:val="0"/>
    <w:rPr>
      <w:rFonts w:ascii="Cambria" w:hAnsi="Cambria" w:eastAsia="宋体" w:cs="Times New Roman"/>
      <w:b/>
      <w:bCs/>
      <w:kern w:val="28"/>
      <w:sz w:val="32"/>
      <w:szCs w:val="32"/>
    </w:rPr>
  </w:style>
  <w:style w:type="character" w:customStyle="1" w:styleId="251">
    <w:name w:val="style21"/>
    <w:qFormat/>
    <w:uiPriority w:val="0"/>
    <w:rPr>
      <w:b/>
      <w:bCs/>
      <w:sz w:val="28"/>
      <w:szCs w:val="28"/>
    </w:rPr>
  </w:style>
  <w:style w:type="character" w:customStyle="1" w:styleId="252">
    <w:name w:val="Heading 7 Char"/>
    <w:qFormat/>
    <w:uiPriority w:val="0"/>
    <w:rPr>
      <w:b/>
      <w:kern w:val="2"/>
      <w:sz w:val="24"/>
    </w:rPr>
  </w:style>
  <w:style w:type="character" w:customStyle="1" w:styleId="253">
    <w:name w:val="标题 Char"/>
    <w:qFormat/>
    <w:locked/>
    <w:uiPriority w:val="0"/>
    <w:rPr>
      <w:rFonts w:eastAsia="宋体"/>
      <w:szCs w:val="24"/>
      <w:u w:val="single"/>
      <w:lang w:val="en-US" w:eastAsia="en-US" w:bidi="ar-SA"/>
    </w:rPr>
  </w:style>
  <w:style w:type="character" w:customStyle="1" w:styleId="254">
    <w:name w:val="Heading 9 Char"/>
    <w:qFormat/>
    <w:uiPriority w:val="0"/>
    <w:rPr>
      <w:rFonts w:ascii="Cambria" w:hAnsi="Cambria" w:eastAsia="宋体"/>
      <w:kern w:val="2"/>
      <w:sz w:val="21"/>
    </w:rPr>
  </w:style>
  <w:style w:type="character" w:customStyle="1" w:styleId="255">
    <w:name w:val="明显引用 字符1"/>
    <w:link w:val="256"/>
    <w:qFormat/>
    <w:uiPriority w:val="99"/>
    <w:rPr>
      <w:b/>
      <w:bCs/>
      <w:i/>
      <w:iCs/>
      <w:color w:val="4F81BD"/>
    </w:rPr>
  </w:style>
  <w:style w:type="paragraph" w:styleId="256">
    <w:name w:val="Intense Quote"/>
    <w:basedOn w:val="1"/>
    <w:next w:val="1"/>
    <w:link w:val="255"/>
    <w:qFormat/>
    <w:uiPriority w:val="0"/>
    <w:pPr>
      <w:pBdr>
        <w:bottom w:val="single" w:color="4F81BD" w:sz="4" w:space="4"/>
      </w:pBdr>
      <w:spacing w:before="200" w:after="280"/>
      <w:ind w:left="936" w:right="936"/>
    </w:pPr>
    <w:rPr>
      <w:rFonts w:ascii="Calibri" w:hAnsi="Calibri"/>
      <w:b/>
      <w:bCs/>
      <w:i/>
      <w:iCs/>
      <w:color w:val="4F81BD"/>
      <w:kern w:val="0"/>
      <w:sz w:val="20"/>
      <w:szCs w:val="20"/>
    </w:rPr>
  </w:style>
  <w:style w:type="character" w:customStyle="1" w:styleId="257">
    <w:name w:val="批注文字 Char1"/>
    <w:qFormat/>
    <w:locked/>
    <w:uiPriority w:val="99"/>
    <w:rPr>
      <w:rFonts w:ascii="Tahoma" w:hAnsi="Tahoma" w:eastAsia="宋体" w:cs="Times New Roman"/>
      <w:kern w:val="2"/>
      <w:sz w:val="24"/>
      <w:lang w:val="en-US" w:eastAsia="zh-CN"/>
    </w:rPr>
  </w:style>
  <w:style w:type="character" w:customStyle="1" w:styleId="258">
    <w:name w:val="文档结构图 Char1"/>
    <w:qFormat/>
    <w:uiPriority w:val="0"/>
    <w:rPr>
      <w:rFonts w:ascii="宋体"/>
      <w:kern w:val="2"/>
      <w:sz w:val="18"/>
    </w:rPr>
  </w:style>
  <w:style w:type="character" w:customStyle="1" w:styleId="259">
    <w:name w:val="Char Char21"/>
    <w:qFormat/>
    <w:uiPriority w:val="0"/>
    <w:rPr>
      <w:rFonts w:ascii="宋体" w:hAnsi="宋体" w:cs="宋体"/>
      <w:b/>
      <w:bCs/>
      <w:sz w:val="24"/>
      <w:szCs w:val="24"/>
    </w:rPr>
  </w:style>
  <w:style w:type="character" w:customStyle="1" w:styleId="260">
    <w:name w:val="HTML 预设格式 Char"/>
    <w:qFormat/>
    <w:uiPriority w:val="0"/>
    <w:rPr>
      <w:rFonts w:ascii="仿宋_GB2312" w:eastAsia="仿宋_GB2312" w:cs="MingLiU"/>
      <w:b/>
      <w:sz w:val="24"/>
      <w:szCs w:val="28"/>
      <w:lang w:val="en-US" w:eastAsia="zh-CN" w:bidi="ar-SA"/>
    </w:rPr>
  </w:style>
  <w:style w:type="character" w:customStyle="1" w:styleId="261">
    <w:name w:val="Char Char2"/>
    <w:qFormat/>
    <w:uiPriority w:val="0"/>
    <w:rPr>
      <w:rFonts w:ascii="宋体" w:eastAsia="宋体"/>
      <w:kern w:val="2"/>
      <w:sz w:val="24"/>
      <w:lang w:val="en-US" w:eastAsia="zh-CN"/>
    </w:rPr>
  </w:style>
  <w:style w:type="character" w:customStyle="1" w:styleId="262">
    <w:name w:val="明显引用 Char3"/>
    <w:qFormat/>
    <w:uiPriority w:val="30"/>
    <w:rPr>
      <w:rFonts w:ascii="Times New Roman" w:hAnsi="Times New Roman" w:eastAsia="宋体" w:cs="Times New Roman"/>
      <w:b/>
      <w:bCs/>
      <w:i/>
      <w:iCs/>
      <w:color w:val="4F81BD"/>
      <w:szCs w:val="24"/>
    </w:rPr>
  </w:style>
  <w:style w:type="character" w:customStyle="1" w:styleId="263">
    <w:name w:val="标题 2 Char Char"/>
    <w:qFormat/>
    <w:uiPriority w:val="0"/>
    <w:rPr>
      <w:rFonts w:ascii="仿宋_GB2312" w:eastAsia="仿宋_GB2312" w:cs="MingLiU"/>
      <w:b/>
      <w:spacing w:val="1"/>
      <w:w w:val="99"/>
      <w:sz w:val="28"/>
      <w:szCs w:val="32"/>
      <w:lang w:val="en-US" w:eastAsia="zh-CN" w:bidi="ar-SA"/>
    </w:rPr>
  </w:style>
  <w:style w:type="character" w:customStyle="1" w:styleId="264">
    <w:name w:val="Char Char29"/>
    <w:qFormat/>
    <w:uiPriority w:val="0"/>
    <w:rPr>
      <w:rFonts w:ascii="仿宋_GB2312" w:eastAsia="仿宋_GB2312" w:cs="MingLiU"/>
      <w:b/>
      <w:spacing w:val="1"/>
      <w:w w:val="99"/>
      <w:sz w:val="28"/>
      <w:szCs w:val="32"/>
      <w:lang w:val="en-US" w:eastAsia="zh-CN" w:bidi="ar-SA"/>
    </w:rPr>
  </w:style>
  <w:style w:type="character" w:customStyle="1" w:styleId="265">
    <w:name w:val="批注框文本 Char1"/>
    <w:qFormat/>
    <w:uiPriority w:val="0"/>
    <w:rPr>
      <w:kern w:val="2"/>
      <w:sz w:val="18"/>
    </w:rPr>
  </w:style>
  <w:style w:type="character" w:customStyle="1" w:styleId="266">
    <w:name w:val="Char Char131"/>
    <w:qFormat/>
    <w:uiPriority w:val="0"/>
    <w:rPr>
      <w:rFonts w:eastAsia="宋体"/>
      <w:b/>
      <w:bCs/>
      <w:kern w:val="44"/>
      <w:sz w:val="44"/>
      <w:szCs w:val="44"/>
      <w:lang w:val="en-US" w:eastAsia="zh-CN" w:bidi="ar-SA"/>
    </w:rPr>
  </w:style>
  <w:style w:type="character" w:customStyle="1" w:styleId="267">
    <w:name w:val="Book Title1"/>
    <w:qFormat/>
    <w:uiPriority w:val="0"/>
    <w:rPr>
      <w:b/>
      <w:smallCaps/>
      <w:spacing w:val="5"/>
    </w:rPr>
  </w:style>
  <w:style w:type="character" w:customStyle="1" w:styleId="268">
    <w:name w:val="纯文本 Char3"/>
    <w:qFormat/>
    <w:uiPriority w:val="0"/>
    <w:rPr>
      <w:rFonts w:ascii="宋体" w:hAnsi="Courier New" w:eastAsia="宋体" w:cs="Courier New"/>
      <w:szCs w:val="21"/>
    </w:rPr>
  </w:style>
  <w:style w:type="character" w:customStyle="1" w:styleId="269">
    <w:name w:val="标题 2 Char1"/>
    <w:qFormat/>
    <w:locked/>
    <w:uiPriority w:val="0"/>
    <w:rPr>
      <w:rFonts w:ascii="Cambria" w:hAnsi="Cambria" w:eastAsia="宋体" w:cs="Times New Roman"/>
      <w:b/>
      <w:bCs/>
      <w:sz w:val="32"/>
      <w:szCs w:val="32"/>
    </w:rPr>
  </w:style>
  <w:style w:type="character" w:customStyle="1" w:styleId="270">
    <w:name w:val="副标题 Char1"/>
    <w:qFormat/>
    <w:uiPriority w:val="0"/>
    <w:rPr>
      <w:rFonts w:ascii="Calibri Light" w:hAnsi="Calibri Light" w:eastAsia="宋体" w:cs="Times New Roman"/>
      <w:b/>
      <w:bCs/>
      <w:kern w:val="28"/>
      <w:sz w:val="32"/>
      <w:szCs w:val="32"/>
    </w:rPr>
  </w:style>
  <w:style w:type="character" w:customStyle="1" w:styleId="271">
    <w:name w:val="标题4 Char Char"/>
    <w:link w:val="272"/>
    <w:qFormat/>
    <w:uiPriority w:val="0"/>
    <w:rPr>
      <w:rFonts w:ascii="Arial" w:hAnsi="Arial"/>
      <w:b/>
      <w:bCs/>
      <w:sz w:val="24"/>
      <w:szCs w:val="32"/>
    </w:rPr>
  </w:style>
  <w:style w:type="paragraph" w:customStyle="1" w:styleId="272">
    <w:name w:val="标题4"/>
    <w:basedOn w:val="4"/>
    <w:next w:val="21"/>
    <w:link w:val="271"/>
    <w:qFormat/>
    <w:uiPriority w:val="0"/>
    <w:pPr>
      <w:keepNext/>
      <w:keepLines/>
      <w:autoSpaceDE/>
      <w:autoSpaceDN/>
      <w:adjustRightInd/>
      <w:snapToGrid/>
      <w:spacing w:before="260" w:after="260" w:line="413" w:lineRule="auto"/>
      <w:jc w:val="both"/>
    </w:pPr>
    <w:rPr>
      <w:rFonts w:ascii="Arial" w:hAnsi="Arial" w:eastAsia="宋体"/>
      <w:bCs/>
      <w:spacing w:val="0"/>
      <w:w w:val="100"/>
      <w:sz w:val="24"/>
    </w:rPr>
  </w:style>
  <w:style w:type="character" w:customStyle="1" w:styleId="273">
    <w:name w:val="Char Char10"/>
    <w:qFormat/>
    <w:uiPriority w:val="0"/>
    <w:rPr>
      <w:rFonts w:ascii="仿宋_GB2312" w:eastAsia="仿宋_GB2312" w:cs="MingLiU"/>
      <w:b/>
      <w:spacing w:val="1"/>
      <w:w w:val="99"/>
      <w:sz w:val="28"/>
      <w:szCs w:val="32"/>
      <w:lang w:val="en-US" w:eastAsia="zh-CN" w:bidi="ar-SA"/>
    </w:rPr>
  </w:style>
  <w:style w:type="character" w:customStyle="1" w:styleId="274">
    <w:name w:val="Char1 Char"/>
    <w:link w:val="275"/>
    <w:qFormat/>
    <w:uiPriority w:val="0"/>
    <w:rPr>
      <w:rFonts w:ascii="Tahoma" w:hAnsi="Tahoma"/>
      <w:sz w:val="24"/>
    </w:rPr>
  </w:style>
  <w:style w:type="paragraph" w:customStyle="1" w:styleId="275">
    <w:name w:val="Char1"/>
    <w:basedOn w:val="1"/>
    <w:link w:val="274"/>
    <w:qFormat/>
    <w:uiPriority w:val="0"/>
    <w:pPr>
      <w:spacing w:before="156" w:beforeLines="50" w:after="156" w:afterLines="50"/>
    </w:pPr>
    <w:rPr>
      <w:rFonts w:ascii="Tahoma" w:hAnsi="Tahoma"/>
      <w:kern w:val="0"/>
      <w:sz w:val="24"/>
      <w:szCs w:val="20"/>
    </w:rPr>
  </w:style>
  <w:style w:type="character" w:customStyle="1" w:styleId="276">
    <w:name w:val="标题 3 Char Char"/>
    <w:qFormat/>
    <w:uiPriority w:val="0"/>
    <w:rPr>
      <w:rFonts w:ascii="仿宋_GB2312" w:eastAsia="仿宋_GB2312" w:cs="MingLiU"/>
      <w:b/>
      <w:sz w:val="24"/>
      <w:szCs w:val="28"/>
      <w:lang w:val="en-US" w:eastAsia="zh-CN" w:bidi="ar-SA"/>
    </w:rPr>
  </w:style>
  <w:style w:type="character" w:customStyle="1" w:styleId="277">
    <w:name w:val="font161"/>
    <w:qFormat/>
    <w:uiPriority w:val="0"/>
    <w:rPr>
      <w:b/>
      <w:bCs/>
      <w:sz w:val="32"/>
      <w:szCs w:val="32"/>
    </w:rPr>
  </w:style>
  <w:style w:type="paragraph" w:customStyle="1" w:styleId="278">
    <w:name w:val="链接"/>
    <w:qFormat/>
    <w:uiPriority w:val="0"/>
    <w:pPr>
      <w:widowControl w:val="0"/>
      <w:autoSpaceDE w:val="0"/>
      <w:autoSpaceDN w:val="0"/>
      <w:adjustRightInd w:val="0"/>
      <w:ind w:left="720"/>
    </w:pPr>
    <w:rPr>
      <w:rFonts w:ascii="Times New Roman" w:hAnsi="Times New Roman" w:eastAsia="宋体" w:cs="Times New Roman"/>
      <w:color w:val="0000FF"/>
      <w:sz w:val="21"/>
      <w:szCs w:val="21"/>
      <w:u w:val="single"/>
      <w:lang w:val="en-US" w:eastAsia="zh-CN" w:bidi="ar-SA"/>
    </w:rPr>
  </w:style>
  <w:style w:type="paragraph" w:customStyle="1" w:styleId="279">
    <w:name w:val="3 Char Char Char Char Char Char Char Char Char3 Char Char Char Char Char Char Char Char Char Char"/>
    <w:basedOn w:val="1"/>
    <w:qFormat/>
    <w:uiPriority w:val="0"/>
    <w:pPr>
      <w:snapToGrid w:val="0"/>
      <w:spacing w:line="360" w:lineRule="auto"/>
      <w:ind w:firstLine="200" w:firstLineChars="200"/>
    </w:pPr>
    <w:rPr>
      <w:szCs w:val="20"/>
    </w:rPr>
  </w:style>
  <w:style w:type="paragraph" w:customStyle="1" w:styleId="280">
    <w:name w:val="Heading3"/>
    <w:basedOn w:val="1"/>
    <w:next w:val="1"/>
    <w:qFormat/>
    <w:uiPriority w:val="0"/>
    <w:pPr>
      <w:spacing w:before="16"/>
      <w:jc w:val="left"/>
    </w:pPr>
    <w:rPr>
      <w:rFonts w:ascii="仿宋_GB2312" w:eastAsia="仿宋_GB2312"/>
      <w:b/>
      <w:sz w:val="24"/>
      <w:szCs w:val="28"/>
    </w:rPr>
  </w:style>
  <w:style w:type="paragraph" w:customStyle="1" w:styleId="281">
    <w:name w:val="封面上标题"/>
    <w:qFormat/>
    <w:uiPriority w:val="0"/>
    <w:pPr>
      <w:jc w:val="center"/>
    </w:pPr>
    <w:rPr>
      <w:rFonts w:ascii="宋体" w:hAnsi="Times New Roman" w:eastAsia="宋体" w:cs="Times New Roman"/>
      <w:b/>
      <w:sz w:val="36"/>
      <w:lang w:val="en-US" w:eastAsia="zh-CN" w:bidi="ar-SA"/>
    </w:rPr>
  </w:style>
  <w:style w:type="paragraph" w:customStyle="1" w:styleId="282">
    <w:name w:val="Revision_2d999c78-1de6-4ca5-91ed-0c14ff863d16"/>
    <w:qFormat/>
    <w:uiPriority w:val="0"/>
    <w:rPr>
      <w:rFonts w:ascii="Times New Roman" w:hAnsi="Times New Roman" w:eastAsia="宋体" w:cs="Times New Roman"/>
      <w:kern w:val="2"/>
      <w:sz w:val="21"/>
      <w:szCs w:val="24"/>
      <w:lang w:val="en-US" w:eastAsia="zh-CN" w:bidi="ar-SA"/>
    </w:rPr>
  </w:style>
  <w:style w:type="paragraph" w:customStyle="1" w:styleId="283">
    <w:name w:val="封面主1"/>
    <w:qFormat/>
    <w:uiPriority w:val="0"/>
    <w:pPr>
      <w:adjustRightInd w:val="0"/>
      <w:snapToGrid w:val="0"/>
      <w:spacing w:before="1560" w:beforeLines="500" w:after="1560" w:afterLines="500"/>
      <w:jc w:val="center"/>
    </w:pPr>
    <w:rPr>
      <w:rFonts w:ascii="宋体" w:hAnsi="宋体" w:eastAsia="宋体" w:cs="Times New Roman"/>
      <w:b/>
      <w:spacing w:val="200"/>
      <w:sz w:val="96"/>
      <w:lang w:val="en-US" w:eastAsia="zh-CN" w:bidi="ar-SA"/>
    </w:rPr>
  </w:style>
  <w:style w:type="paragraph" w:customStyle="1" w:styleId="284">
    <w:name w:val="样式"/>
    <w:qFormat/>
    <w:uiPriority w:val="0"/>
    <w:pPr>
      <w:widowControl w:val="0"/>
      <w:autoSpaceDE w:val="0"/>
      <w:autoSpaceDN w:val="0"/>
      <w:adjustRightInd w:val="0"/>
    </w:pPr>
    <w:rPr>
      <w:rFonts w:ascii="宋体" w:hAnsi="宋体" w:eastAsia="宋体" w:cs="宋体"/>
      <w:sz w:val="24"/>
      <w:szCs w:val="24"/>
      <w:lang w:val="en-US" w:eastAsia="zh-CN" w:bidi="ar-SA"/>
    </w:rPr>
  </w:style>
  <w:style w:type="paragraph" w:customStyle="1" w:styleId="285">
    <w:name w:val="rw"/>
    <w:basedOn w:val="1"/>
    <w:qFormat/>
    <w:uiPriority w:val="0"/>
    <w:pPr>
      <w:widowControl/>
      <w:spacing w:before="30"/>
      <w:ind w:left="100" w:right="100"/>
      <w:jc w:val="right"/>
    </w:pPr>
    <w:rPr>
      <w:rFonts w:ascii="方正仿宋简体" w:hAnsi="宋体" w:eastAsia="方正仿宋简体"/>
      <w:color w:val="000000"/>
      <w:kern w:val="0"/>
      <w:szCs w:val="21"/>
    </w:rPr>
  </w:style>
  <w:style w:type="paragraph" w:customStyle="1" w:styleId="286">
    <w:name w:val="pa-34"/>
    <w:basedOn w:val="1"/>
    <w:qFormat/>
    <w:uiPriority w:val="0"/>
    <w:pPr>
      <w:widowControl/>
      <w:spacing w:line="360" w:lineRule="atLeast"/>
      <w:ind w:firstLine="420"/>
      <w:jc w:val="left"/>
    </w:pPr>
    <w:rPr>
      <w:rFonts w:ascii="宋体" w:hAnsi="宋体" w:cs="宋体"/>
      <w:kern w:val="0"/>
      <w:sz w:val="24"/>
    </w:rPr>
  </w:style>
  <w:style w:type="paragraph" w:customStyle="1" w:styleId="287">
    <w:name w:val="修订1"/>
    <w:qFormat/>
    <w:uiPriority w:val="0"/>
    <w:rPr>
      <w:rFonts w:ascii="Times New Roman" w:hAnsi="Times New Roman" w:eastAsia="宋体" w:cs="Times New Roman"/>
      <w:kern w:val="2"/>
      <w:sz w:val="21"/>
      <w:szCs w:val="24"/>
      <w:lang w:val="en-US" w:eastAsia="zh-CN" w:bidi="ar-SA"/>
    </w:rPr>
  </w:style>
  <w:style w:type="paragraph" w:customStyle="1" w:styleId="288">
    <w:name w:val="Revision1"/>
    <w:qFormat/>
    <w:uiPriority w:val="0"/>
    <w:rPr>
      <w:rFonts w:ascii="Times New Roman" w:hAnsi="Times New Roman" w:eastAsia="宋体" w:cs="Times New Roman"/>
      <w:kern w:val="2"/>
      <w:sz w:val="21"/>
      <w:szCs w:val="24"/>
      <w:lang w:val="en-US" w:eastAsia="zh-CN" w:bidi="ar-SA"/>
    </w:rPr>
  </w:style>
  <w:style w:type="paragraph" w:customStyle="1" w:styleId="289">
    <w:name w:val="Default"/>
    <w:qFormat/>
    <w:uiPriority w:val="99"/>
    <w:pPr>
      <w:widowControl w:val="0"/>
      <w:autoSpaceDE w:val="0"/>
      <w:autoSpaceDN w:val="0"/>
      <w:adjustRightInd w:val="0"/>
    </w:pPr>
    <w:rPr>
      <w:rFonts w:ascii="宋体" w:hAnsi="Times New Roman" w:eastAsia="宋体" w:cs="宋体"/>
      <w:color w:val="000000"/>
      <w:sz w:val="24"/>
      <w:szCs w:val="24"/>
      <w:lang w:val="en-US" w:eastAsia="zh-CN" w:bidi="ar-SA"/>
    </w:rPr>
  </w:style>
  <w:style w:type="paragraph" w:customStyle="1" w:styleId="290">
    <w:name w:val="标书章标题 1"/>
    <w:next w:val="1"/>
    <w:qFormat/>
    <w:uiPriority w:val="0"/>
    <w:pPr>
      <w:spacing w:after="312" w:afterLines="100"/>
      <w:jc w:val="both"/>
    </w:pPr>
    <w:rPr>
      <w:rFonts w:ascii="宋体" w:hAnsi="Times New Roman" w:eastAsia="宋体" w:cs="Times New Roman"/>
      <w:b/>
      <w:sz w:val="32"/>
      <w:lang w:val="en-US" w:eastAsia="zh-CN" w:bidi="ar-SA"/>
    </w:rPr>
  </w:style>
  <w:style w:type="paragraph" w:styleId="291">
    <w:name w:val="List Paragraph"/>
    <w:basedOn w:val="1"/>
    <w:qFormat/>
    <w:uiPriority w:val="0"/>
    <w:pPr>
      <w:ind w:firstLine="420" w:firstLineChars="200"/>
    </w:pPr>
    <w:rPr>
      <w:sz w:val="28"/>
      <w:szCs w:val="28"/>
    </w:rPr>
  </w:style>
  <w:style w:type="paragraph" w:customStyle="1" w:styleId="292">
    <w:name w:val="_Style 290"/>
    <w:basedOn w:val="3"/>
    <w:next w:val="1"/>
    <w:qFormat/>
    <w:uiPriority w:val="0"/>
    <w:pPr>
      <w:widowControl/>
      <w:spacing w:before="480" w:after="0" w:line="276" w:lineRule="auto"/>
      <w:jc w:val="left"/>
      <w:outlineLvl w:val="9"/>
    </w:pPr>
    <w:rPr>
      <w:rFonts w:ascii="Cambria" w:hAnsi="Cambria"/>
      <w:color w:val="365F91"/>
      <w:kern w:val="0"/>
      <w:sz w:val="28"/>
      <w:szCs w:val="28"/>
    </w:rPr>
  </w:style>
  <w:style w:type="paragraph" w:customStyle="1" w:styleId="293">
    <w:name w:val="无间隔1"/>
    <w:qFormat/>
    <w:uiPriority w:val="0"/>
    <w:pPr>
      <w:widowControl w:val="0"/>
      <w:jc w:val="both"/>
    </w:pPr>
    <w:rPr>
      <w:rFonts w:ascii="Times New Roman" w:hAnsi="Times New Roman" w:eastAsia="宋体" w:cs="Times New Roman"/>
      <w:kern w:val="2"/>
      <w:sz w:val="21"/>
      <w:szCs w:val="22"/>
      <w:lang w:val="en-US" w:eastAsia="zh-CN" w:bidi="ar-SA"/>
    </w:rPr>
  </w:style>
  <w:style w:type="paragraph" w:customStyle="1" w:styleId="294">
    <w:name w:val="Char Char Char1 Char Char Char Char Char Char Char Char Char Char"/>
    <w:basedOn w:val="1"/>
    <w:semiHidden/>
    <w:qFormat/>
    <w:uiPriority w:val="0"/>
    <w:pPr>
      <w:adjustRightInd w:val="0"/>
      <w:snapToGrid w:val="0"/>
      <w:spacing w:line="360" w:lineRule="auto"/>
      <w:ind w:firstLine="200" w:firstLineChars="200"/>
    </w:pPr>
    <w:rPr>
      <w:rFonts w:ascii="宋体" w:hAnsi="宋体" w:cs="宋体"/>
      <w:sz w:val="24"/>
      <w:szCs w:val="26"/>
    </w:rPr>
  </w:style>
  <w:style w:type="paragraph" w:customStyle="1" w:styleId="295">
    <w:name w:val="WPSOffice手动目录 1"/>
    <w:qFormat/>
    <w:uiPriority w:val="0"/>
    <w:rPr>
      <w:rFonts w:ascii="Times New Roman" w:hAnsi="Times New Roman" w:eastAsia="宋体" w:cs="Times New Roman"/>
      <w:lang w:val="en-US" w:eastAsia="zh-CN" w:bidi="ar-SA"/>
    </w:rPr>
  </w:style>
  <w:style w:type="paragraph" w:customStyle="1" w:styleId="296">
    <w:name w:val="WPSOffice手动目录 2"/>
    <w:qFormat/>
    <w:uiPriority w:val="0"/>
    <w:pPr>
      <w:ind w:left="200" w:leftChars="200"/>
    </w:pPr>
    <w:rPr>
      <w:rFonts w:ascii="Times New Roman" w:hAnsi="Times New Roman" w:eastAsia="宋体" w:cs="Times New Roman"/>
      <w:lang w:val="en-US" w:eastAsia="zh-CN" w:bidi="ar-SA"/>
    </w:rPr>
  </w:style>
  <w:style w:type="paragraph" w:customStyle="1" w:styleId="297">
    <w:name w:val="列出段落1"/>
    <w:basedOn w:val="1"/>
    <w:qFormat/>
    <w:uiPriority w:val="0"/>
    <w:pPr>
      <w:ind w:firstLine="420" w:firstLineChars="200"/>
    </w:pPr>
    <w:rPr>
      <w:sz w:val="28"/>
      <w:szCs w:val="28"/>
    </w:rPr>
  </w:style>
  <w:style w:type="paragraph" w:customStyle="1" w:styleId="298">
    <w:name w:val="_Style 56"/>
    <w:basedOn w:val="3"/>
    <w:next w:val="1"/>
    <w:qFormat/>
    <w:uiPriority w:val="39"/>
    <w:pPr>
      <w:widowControl/>
      <w:spacing w:before="480" w:after="0" w:line="276" w:lineRule="auto"/>
      <w:jc w:val="left"/>
      <w:outlineLvl w:val="9"/>
    </w:pPr>
    <w:rPr>
      <w:rFonts w:ascii="Cambria" w:hAnsi="Cambria"/>
      <w:color w:val="365F91"/>
      <w:kern w:val="0"/>
      <w:sz w:val="28"/>
      <w:szCs w:val="28"/>
    </w:rPr>
  </w:style>
  <w:style w:type="paragraph" w:customStyle="1" w:styleId="299">
    <w:name w:val="zz"/>
    <w:basedOn w:val="1"/>
    <w:qFormat/>
    <w:uiPriority w:val="0"/>
    <w:pPr>
      <w:widowControl/>
      <w:spacing w:before="30"/>
      <w:jc w:val="right"/>
    </w:pPr>
    <w:rPr>
      <w:rFonts w:ascii="方正书宋简体" w:hAnsi="宋体" w:eastAsia="方正书宋简体"/>
      <w:color w:val="000000"/>
      <w:kern w:val="0"/>
      <w:szCs w:val="21"/>
    </w:rPr>
  </w:style>
  <w:style w:type="paragraph" w:customStyle="1" w:styleId="300">
    <w:name w:val="Char Char Char Char Char Char Char Char Char Char Char Char Char Char Char Char"/>
    <w:basedOn w:val="15"/>
    <w:qFormat/>
    <w:uiPriority w:val="0"/>
    <w:pPr>
      <w:spacing w:line="360" w:lineRule="auto"/>
      <w:ind w:firstLine="200" w:firstLineChars="200"/>
    </w:pPr>
    <w:rPr>
      <w:rFonts w:ascii="Tahoma" w:hAnsi="Tahoma"/>
      <w:kern w:val="2"/>
      <w:sz w:val="24"/>
    </w:rPr>
  </w:style>
  <w:style w:type="paragraph" w:customStyle="1" w:styleId="301">
    <w:name w:val="mtitle"/>
    <w:basedOn w:val="1"/>
    <w:qFormat/>
    <w:uiPriority w:val="0"/>
    <w:pPr>
      <w:widowControl/>
      <w:spacing w:before="30"/>
      <w:jc w:val="center"/>
    </w:pPr>
    <w:rPr>
      <w:rFonts w:ascii="方正小标宋简体" w:hAnsi="宋体" w:eastAsia="方正小标宋简体"/>
      <w:color w:val="000000"/>
      <w:kern w:val="0"/>
      <w:sz w:val="44"/>
      <w:szCs w:val="44"/>
    </w:rPr>
  </w:style>
  <w:style w:type="paragraph" w:customStyle="1" w:styleId="302">
    <w:name w:val="zw"/>
    <w:basedOn w:val="1"/>
    <w:qFormat/>
    <w:uiPriority w:val="0"/>
    <w:pPr>
      <w:widowControl/>
      <w:spacing w:before="30"/>
      <w:ind w:left="100" w:right="100"/>
    </w:pPr>
    <w:rPr>
      <w:rFonts w:ascii="方正书宋简体" w:hAnsi="宋体" w:eastAsia="方正书宋简体"/>
      <w:color w:val="000000"/>
      <w:kern w:val="0"/>
      <w:szCs w:val="21"/>
    </w:rPr>
  </w:style>
  <w:style w:type="paragraph" w:customStyle="1" w:styleId="303">
    <w:name w:val="1 Char"/>
    <w:basedOn w:val="1"/>
    <w:qFormat/>
    <w:uiPriority w:val="0"/>
    <w:pPr>
      <w:widowControl/>
      <w:spacing w:after="160" w:line="240" w:lineRule="exact"/>
      <w:jc w:val="left"/>
    </w:pPr>
    <w:rPr>
      <w:rFonts w:ascii="Calibri" w:hAnsi="Calibri"/>
      <w:szCs w:val="20"/>
    </w:rPr>
  </w:style>
  <w:style w:type="paragraph" w:customStyle="1" w:styleId="304">
    <w:name w:val="列表段落1"/>
    <w:basedOn w:val="1"/>
    <w:qFormat/>
    <w:uiPriority w:val="34"/>
    <w:pPr>
      <w:ind w:firstLine="420" w:firstLineChars="200"/>
    </w:pPr>
    <w:rPr>
      <w:rFonts w:ascii="Calibri" w:hAnsi="Calibri"/>
    </w:rPr>
  </w:style>
  <w:style w:type="paragraph" w:customStyle="1" w:styleId="305">
    <w:name w:val="Char Char Char Char Char Char Char Char Char Char"/>
    <w:basedOn w:val="15"/>
    <w:qFormat/>
    <w:uiPriority w:val="0"/>
    <w:pPr>
      <w:spacing w:line="360" w:lineRule="auto"/>
      <w:ind w:firstLine="200" w:firstLineChars="200"/>
    </w:pPr>
    <w:rPr>
      <w:rFonts w:ascii="Tahoma" w:hAnsi="Tahoma"/>
      <w:kern w:val="2"/>
      <w:sz w:val="24"/>
    </w:rPr>
  </w:style>
  <w:style w:type="paragraph" w:customStyle="1" w:styleId="306">
    <w:name w:val="样式 标题 3 + (中文) 黑体 小四 非加粗 段前: 7.8 磅 段后: 0 磅 行距: 固定值 20 磅"/>
    <w:basedOn w:val="5"/>
    <w:next w:val="1"/>
    <w:qFormat/>
    <w:uiPriority w:val="0"/>
    <w:pPr>
      <w:keepNext/>
      <w:keepLines/>
      <w:autoSpaceDE/>
      <w:autoSpaceDN/>
      <w:adjustRightInd/>
      <w:spacing w:before="0" w:line="400" w:lineRule="exact"/>
      <w:jc w:val="both"/>
    </w:pPr>
    <w:rPr>
      <w:rFonts w:ascii="Times New Roman" w:eastAsia="黑体" w:cs="宋体"/>
      <w:b w:val="0"/>
      <w:kern w:val="2"/>
      <w:szCs w:val="20"/>
    </w:rPr>
  </w:style>
  <w:style w:type="paragraph" w:customStyle="1" w:styleId="307">
    <w:name w:val="正文 New New New New New New New New New New New New New New New"/>
    <w:qFormat/>
    <w:uiPriority w:val="0"/>
    <w:pPr>
      <w:widowControl w:val="0"/>
      <w:jc w:val="both"/>
    </w:pPr>
    <w:rPr>
      <w:rFonts w:ascii="Calibri" w:hAnsi="Calibri" w:eastAsia="宋体" w:cs="Times New Roman"/>
      <w:kern w:val="2"/>
      <w:sz w:val="21"/>
      <w:lang w:val="en-US" w:eastAsia="zh-CN" w:bidi="ar-SA"/>
    </w:rPr>
  </w:style>
  <w:style w:type="paragraph" w:customStyle="1" w:styleId="308">
    <w:name w:val="TOC 标题2"/>
    <w:basedOn w:val="3"/>
    <w:next w:val="1"/>
    <w:unhideWhenUsed/>
    <w:qFormat/>
    <w:uiPriority w:val="0"/>
    <w:pPr>
      <w:spacing w:line="578" w:lineRule="auto"/>
      <w:outlineLvl w:val="9"/>
    </w:pPr>
    <w:rPr>
      <w:rFonts w:ascii="Calibri" w:hAnsi="Calibri"/>
    </w:rPr>
  </w:style>
  <w:style w:type="paragraph" w:customStyle="1" w:styleId="309">
    <w:name w:val="g2"/>
    <w:basedOn w:val="1"/>
    <w:qFormat/>
    <w:uiPriority w:val="0"/>
    <w:pPr>
      <w:widowControl/>
      <w:spacing w:before="100" w:beforeAutospacing="1" w:after="100" w:afterAutospacing="1"/>
      <w:jc w:val="left"/>
    </w:pPr>
    <w:rPr>
      <w:rFonts w:ascii="仿宋_GB2312" w:hAnsi="宋体" w:eastAsia="仿宋_GB2312" w:cs="宋体"/>
      <w:kern w:val="0"/>
      <w:sz w:val="17"/>
      <w:szCs w:val="17"/>
    </w:rPr>
  </w:style>
  <w:style w:type="paragraph" w:customStyle="1" w:styleId="310">
    <w:name w:val="pa-27"/>
    <w:basedOn w:val="1"/>
    <w:qFormat/>
    <w:uiPriority w:val="0"/>
    <w:pPr>
      <w:widowControl/>
      <w:spacing w:line="360" w:lineRule="atLeast"/>
      <w:ind w:firstLine="420"/>
    </w:pPr>
    <w:rPr>
      <w:rFonts w:ascii="宋体" w:hAnsi="宋体" w:cs="宋体"/>
      <w:kern w:val="0"/>
      <w:sz w:val="24"/>
    </w:rPr>
  </w:style>
  <w:style w:type="paragraph" w:customStyle="1" w:styleId="311">
    <w:name w:val="标题1"/>
    <w:basedOn w:val="1"/>
    <w:qFormat/>
    <w:uiPriority w:val="0"/>
    <w:pPr>
      <w:widowControl/>
      <w:spacing w:before="100" w:beforeAutospacing="1" w:after="100" w:afterAutospacing="1"/>
      <w:jc w:val="left"/>
    </w:pPr>
    <w:rPr>
      <w:rFonts w:ascii="宋体" w:hAnsi="宋体" w:cs="宋体"/>
      <w:kern w:val="0"/>
      <w:sz w:val="24"/>
    </w:rPr>
  </w:style>
  <w:style w:type="paragraph" w:customStyle="1" w:styleId="312">
    <w:name w:val="_Style 72"/>
    <w:qFormat/>
    <w:uiPriority w:val="0"/>
    <w:rPr>
      <w:rFonts w:ascii="Times New Roman" w:hAnsi="Times New Roman" w:eastAsia="宋体" w:cs="Times New Roman"/>
      <w:kern w:val="2"/>
      <w:sz w:val="21"/>
      <w:szCs w:val="24"/>
      <w:lang w:val="en-US" w:eastAsia="zh-CN" w:bidi="ar-SA"/>
    </w:rPr>
  </w:style>
  <w:style w:type="paragraph" w:customStyle="1" w:styleId="313">
    <w:name w:val="Char Char1 Char Char Char Char Char Char Char Char Char Char"/>
    <w:basedOn w:val="1"/>
    <w:qFormat/>
    <w:uiPriority w:val="0"/>
    <w:pPr>
      <w:autoSpaceDE w:val="0"/>
      <w:autoSpaceDN w:val="0"/>
      <w:adjustRightInd w:val="0"/>
      <w:ind w:firstLine="482"/>
    </w:pPr>
    <w:rPr>
      <w:rFonts w:ascii="Calibri" w:hAnsi="Calibri"/>
      <w:szCs w:val="20"/>
    </w:rPr>
  </w:style>
  <w:style w:type="paragraph" w:customStyle="1" w:styleId="314">
    <w:name w:val="_Style 3"/>
    <w:qFormat/>
    <w:uiPriority w:val="0"/>
    <w:pPr>
      <w:widowControl w:val="0"/>
      <w:snapToGrid w:val="0"/>
      <w:spacing w:line="360" w:lineRule="auto"/>
    </w:pPr>
    <w:rPr>
      <w:rFonts w:ascii="Calibri" w:hAnsi="Calibri" w:eastAsia="宋体" w:cs="Times New Roman"/>
      <w:snapToGrid w:val="0"/>
      <w:sz w:val="21"/>
      <w:szCs w:val="24"/>
      <w:lang w:val="en-US" w:eastAsia="zh-CN" w:bidi="ar-SA"/>
    </w:rPr>
  </w:style>
  <w:style w:type="paragraph" w:customStyle="1" w:styleId="315">
    <w:name w:val="Char Char Char Char"/>
    <w:basedOn w:val="15"/>
    <w:qFormat/>
    <w:uiPriority w:val="0"/>
    <w:pPr>
      <w:spacing w:line="360" w:lineRule="auto"/>
      <w:ind w:firstLine="200" w:firstLineChars="200"/>
    </w:pPr>
    <w:rPr>
      <w:rFonts w:ascii="Tahoma" w:hAnsi="Tahoma"/>
      <w:kern w:val="2"/>
      <w:sz w:val="24"/>
    </w:rPr>
  </w:style>
  <w:style w:type="paragraph" w:customStyle="1" w:styleId="316">
    <w:name w:val="表格内容"/>
    <w:basedOn w:val="1"/>
    <w:qFormat/>
    <w:uiPriority w:val="0"/>
    <w:pPr>
      <w:suppressLineNumbers/>
      <w:suppressAutoHyphens/>
    </w:pPr>
  </w:style>
  <w:style w:type="paragraph" w:customStyle="1" w:styleId="317">
    <w:name w:val="_Style 90"/>
    <w:next w:val="1"/>
    <w:qFormat/>
    <w:uiPriority w:val="0"/>
    <w:pPr>
      <w:widowControl w:val="0"/>
      <w:jc w:val="both"/>
    </w:pPr>
    <w:rPr>
      <w:rFonts w:ascii="Calibri" w:hAnsi="Calibri" w:eastAsia="宋体" w:cs="Times New Roman"/>
      <w:kern w:val="2"/>
      <w:sz w:val="21"/>
      <w:szCs w:val="24"/>
      <w:lang w:val="en-US" w:eastAsia="zh-CN" w:bidi="ar-SA"/>
    </w:rPr>
  </w:style>
  <w:style w:type="paragraph" w:customStyle="1" w:styleId="318">
    <w:name w:val="标准样式（文件）"/>
    <w:qFormat/>
    <w:uiPriority w:val="0"/>
    <w:pPr>
      <w:widowControl w:val="0"/>
      <w:spacing w:line="600" w:lineRule="exact"/>
      <w:ind w:firstLine="567"/>
    </w:pPr>
    <w:rPr>
      <w:rFonts w:ascii="Calibri" w:hAnsi="Calibri" w:eastAsia="宋体" w:cs="Times New Roman"/>
      <w:sz w:val="28"/>
      <w:lang w:val="en-US" w:eastAsia="zh-CN" w:bidi="ar-SA"/>
    </w:rPr>
  </w:style>
  <w:style w:type="paragraph" w:customStyle="1" w:styleId="319">
    <w:name w:val="_Style 105"/>
    <w:basedOn w:val="3"/>
    <w:next w:val="1"/>
    <w:qFormat/>
    <w:uiPriority w:val="39"/>
    <w:pPr>
      <w:widowControl/>
      <w:spacing w:before="480" w:after="0" w:line="276" w:lineRule="auto"/>
      <w:jc w:val="left"/>
      <w:outlineLvl w:val="9"/>
    </w:pPr>
    <w:rPr>
      <w:rFonts w:ascii="Cambria" w:hAnsi="Cambria"/>
      <w:color w:val="365F91"/>
      <w:kern w:val="0"/>
      <w:sz w:val="28"/>
      <w:szCs w:val="28"/>
    </w:rPr>
  </w:style>
  <w:style w:type="paragraph" w:customStyle="1" w:styleId="320">
    <w:name w:val="明显引用1"/>
    <w:basedOn w:val="1"/>
    <w:next w:val="1"/>
    <w:link w:val="321"/>
    <w:qFormat/>
    <w:uiPriority w:val="30"/>
    <w:pPr>
      <w:pBdr>
        <w:bottom w:val="single" w:color="4F81BD" w:sz="4" w:space="4"/>
      </w:pBdr>
      <w:spacing w:before="200" w:after="280"/>
      <w:ind w:left="936" w:right="936"/>
    </w:pPr>
    <w:rPr>
      <w:b/>
      <w:bCs/>
      <w:i/>
      <w:iCs/>
      <w:color w:val="4F81BD"/>
      <w:szCs w:val="22"/>
    </w:rPr>
  </w:style>
  <w:style w:type="character" w:customStyle="1" w:styleId="321">
    <w:name w:val="明显引用 字符"/>
    <w:link w:val="320"/>
    <w:qFormat/>
    <w:uiPriority w:val="30"/>
    <w:rPr>
      <w:b/>
      <w:bCs/>
      <w:i/>
      <w:iCs/>
      <w:color w:val="4F81BD"/>
      <w:kern w:val="2"/>
      <w:sz w:val="21"/>
      <w:szCs w:val="22"/>
    </w:rPr>
  </w:style>
  <w:style w:type="paragraph" w:customStyle="1" w:styleId="322">
    <w:name w:val="表体"/>
    <w:basedOn w:val="1"/>
    <w:next w:val="1"/>
    <w:qFormat/>
    <w:uiPriority w:val="0"/>
    <w:pPr>
      <w:spacing w:line="0" w:lineRule="atLeast"/>
    </w:pPr>
    <w:rPr>
      <w:rFonts w:ascii="Calibri" w:hAnsi="Calibri"/>
      <w:b/>
      <w:snapToGrid w:val="0"/>
      <w:szCs w:val="20"/>
    </w:rPr>
  </w:style>
  <w:style w:type="paragraph" w:customStyle="1" w:styleId="323">
    <w:name w:val="正文 New New New New New New New New New New New New New New New New New New New New New New New New New New New New New New New New New New New New New New New New New New New New New New New New New New New New New New New New New New New New New New Ne"/>
    <w:qFormat/>
    <w:uiPriority w:val="0"/>
    <w:pPr>
      <w:widowControl w:val="0"/>
      <w:jc w:val="both"/>
    </w:pPr>
    <w:rPr>
      <w:rFonts w:ascii="Calibri" w:hAnsi="Calibri" w:eastAsia="宋体" w:cs="Times New Roman"/>
      <w:kern w:val="2"/>
      <w:sz w:val="21"/>
      <w:lang w:val="en-US" w:eastAsia="zh-CN" w:bidi="ar-SA"/>
    </w:rPr>
  </w:style>
  <w:style w:type="paragraph" w:customStyle="1" w:styleId="324">
    <w:name w:val="g3"/>
    <w:basedOn w:val="1"/>
    <w:qFormat/>
    <w:uiPriority w:val="0"/>
    <w:pPr>
      <w:widowControl/>
      <w:spacing w:before="100" w:beforeAutospacing="1" w:after="100" w:afterAutospacing="1"/>
      <w:jc w:val="left"/>
    </w:pPr>
    <w:rPr>
      <w:rFonts w:ascii="宋体" w:hAnsi="宋体" w:cs="宋体"/>
      <w:kern w:val="0"/>
      <w:sz w:val="24"/>
    </w:rPr>
  </w:style>
  <w:style w:type="paragraph" w:customStyle="1" w:styleId="325">
    <w:name w:val="1"/>
    <w:basedOn w:val="1"/>
    <w:qFormat/>
    <w:uiPriority w:val="0"/>
    <w:pPr>
      <w:widowControl/>
      <w:spacing w:before="100" w:beforeAutospacing="1" w:after="100" w:afterAutospacing="1"/>
      <w:jc w:val="left"/>
    </w:pPr>
    <w:rPr>
      <w:rFonts w:ascii="ˎ̥" w:hAnsi="ˎ̥" w:cs="宋体"/>
      <w:kern w:val="0"/>
      <w:sz w:val="24"/>
    </w:rPr>
  </w:style>
  <w:style w:type="paragraph" w:customStyle="1" w:styleId="326">
    <w:name w:val="p16"/>
    <w:basedOn w:val="1"/>
    <w:qFormat/>
    <w:uiPriority w:val="0"/>
    <w:pPr>
      <w:widowControl/>
    </w:pPr>
    <w:rPr>
      <w:rFonts w:ascii="Calibri" w:hAnsi="Calibri" w:cs="宋体"/>
      <w:kern w:val="0"/>
      <w:szCs w:val="21"/>
    </w:rPr>
  </w:style>
  <w:style w:type="paragraph" w:customStyle="1" w:styleId="327">
    <w:name w:val="6'"/>
    <w:basedOn w:val="1"/>
    <w:qFormat/>
    <w:uiPriority w:val="0"/>
    <w:pPr>
      <w:autoSpaceDE w:val="0"/>
      <w:autoSpaceDN w:val="0"/>
      <w:adjustRightInd w:val="0"/>
      <w:snapToGrid w:val="0"/>
      <w:spacing w:line="320" w:lineRule="exact"/>
      <w:jc w:val="center"/>
      <w:textAlignment w:val="baseline"/>
    </w:pPr>
    <w:rPr>
      <w:spacing w:val="20"/>
      <w:kern w:val="28"/>
      <w:szCs w:val="20"/>
    </w:rPr>
  </w:style>
  <w:style w:type="paragraph" w:customStyle="1" w:styleId="328">
    <w:name w:val="l-2"/>
    <w:basedOn w:val="1"/>
    <w:qFormat/>
    <w:uiPriority w:val="0"/>
    <w:pPr>
      <w:widowControl/>
      <w:spacing w:before="100" w:beforeAutospacing="1" w:after="100" w:afterAutospacing="1"/>
      <w:jc w:val="left"/>
    </w:pPr>
    <w:rPr>
      <w:rFonts w:ascii="宋体" w:hAnsi="宋体" w:cs="宋体"/>
      <w:b/>
      <w:bCs/>
      <w:color w:val="000000"/>
      <w:kern w:val="0"/>
      <w:sz w:val="13"/>
      <w:szCs w:val="13"/>
    </w:rPr>
  </w:style>
  <w:style w:type="paragraph" w:customStyle="1" w:styleId="329">
    <w:name w:val="无间隔11"/>
    <w:qFormat/>
    <w:uiPriority w:val="0"/>
    <w:pPr>
      <w:widowControl w:val="0"/>
      <w:jc w:val="both"/>
    </w:pPr>
    <w:rPr>
      <w:rFonts w:ascii="Calibri" w:hAnsi="Calibri" w:eastAsia="宋体" w:cs="Times New Roman"/>
      <w:kern w:val="2"/>
      <w:sz w:val="21"/>
      <w:szCs w:val="22"/>
      <w:lang w:val="en-US" w:eastAsia="zh-CN" w:bidi="ar-SA"/>
    </w:rPr>
  </w:style>
  <w:style w:type="paragraph" w:customStyle="1" w:styleId="330">
    <w:name w:val="flNote"/>
    <w:basedOn w:val="1"/>
    <w:qFormat/>
    <w:uiPriority w:val="0"/>
    <w:pPr>
      <w:adjustRightInd w:val="0"/>
      <w:spacing w:before="320" w:after="160" w:line="360" w:lineRule="atLeast"/>
      <w:jc w:val="center"/>
      <w:textAlignment w:val="baseline"/>
    </w:pPr>
    <w:rPr>
      <w:rFonts w:ascii="Arial" w:eastAsia="黑体"/>
      <w:kern w:val="0"/>
      <w:sz w:val="30"/>
      <w:szCs w:val="20"/>
    </w:rPr>
  </w:style>
  <w:style w:type="paragraph" w:customStyle="1" w:styleId="331">
    <w:name w:val="WW-表格内容"/>
    <w:basedOn w:val="1"/>
    <w:qFormat/>
    <w:uiPriority w:val="0"/>
    <w:pPr>
      <w:suppressLineNumbers/>
      <w:suppressAutoHyphens/>
    </w:pPr>
  </w:style>
  <w:style w:type="paragraph" w:customStyle="1" w:styleId="332">
    <w:name w:val="Char"/>
    <w:basedOn w:val="1"/>
    <w:qFormat/>
    <w:uiPriority w:val="0"/>
  </w:style>
  <w:style w:type="paragraph" w:customStyle="1" w:styleId="333">
    <w:name w:val="明显引用11"/>
    <w:basedOn w:val="1"/>
    <w:next w:val="1"/>
    <w:qFormat/>
    <w:uiPriority w:val="30"/>
    <w:pPr>
      <w:pBdr>
        <w:bottom w:val="single" w:color="4F81BD" w:sz="4" w:space="4"/>
      </w:pBdr>
      <w:spacing w:before="200" w:after="280"/>
      <w:ind w:left="936" w:right="936"/>
    </w:pPr>
    <w:rPr>
      <w:rFonts w:ascii="Calibri" w:hAnsi="Calibri"/>
      <w:b/>
      <w:bCs/>
      <w:i/>
      <w:iCs/>
      <w:color w:val="4F81BD"/>
      <w:szCs w:val="22"/>
    </w:rPr>
  </w:style>
  <w:style w:type="paragraph" w:customStyle="1" w:styleId="334">
    <w:name w:val="Normal_47"/>
    <w:qFormat/>
    <w:uiPriority w:val="0"/>
    <w:pPr>
      <w:spacing w:before="120" w:after="240"/>
      <w:jc w:val="both"/>
    </w:pPr>
    <w:rPr>
      <w:rFonts w:ascii="Calibri" w:hAnsi="Calibri" w:eastAsia="Calibri" w:cs="Times New Roman"/>
      <w:sz w:val="22"/>
      <w:szCs w:val="22"/>
      <w:lang w:val="ru-RU" w:eastAsia="en-US" w:bidi="ar-SA"/>
    </w:rPr>
  </w:style>
  <w:style w:type="paragraph" w:customStyle="1" w:styleId="335">
    <w:name w:val="样式15"/>
    <w:basedOn w:val="5"/>
    <w:qFormat/>
    <w:uiPriority w:val="0"/>
    <w:pPr>
      <w:tabs>
        <w:tab w:val="left" w:pos="0"/>
        <w:tab w:val="left" w:pos="210"/>
        <w:tab w:val="left" w:pos="420"/>
        <w:tab w:val="left" w:pos="1260"/>
      </w:tabs>
      <w:autoSpaceDE/>
      <w:autoSpaceDN/>
      <w:spacing w:before="0"/>
    </w:pPr>
    <w:rPr>
      <w:rFonts w:hAnsi="Calibri"/>
      <w:kern w:val="2"/>
      <w:sz w:val="32"/>
      <w:szCs w:val="24"/>
    </w:rPr>
  </w:style>
  <w:style w:type="paragraph" w:customStyle="1" w:styleId="336">
    <w:name w:val="rr"/>
    <w:basedOn w:val="1"/>
    <w:qFormat/>
    <w:uiPriority w:val="0"/>
    <w:pPr>
      <w:widowControl/>
      <w:spacing w:before="100" w:beforeAutospacing="1" w:after="100" w:afterAutospacing="1"/>
      <w:jc w:val="left"/>
    </w:pPr>
    <w:rPr>
      <w:rFonts w:hint="eastAsia" w:ascii="宋体" w:hAnsi="宋体"/>
      <w:kern w:val="0"/>
      <w:szCs w:val="21"/>
    </w:rPr>
  </w:style>
  <w:style w:type="paragraph" w:customStyle="1" w:styleId="337">
    <w:name w:val="Char9 Char Char Char Char Char Char"/>
    <w:basedOn w:val="15"/>
    <w:qFormat/>
    <w:uiPriority w:val="0"/>
    <w:pPr>
      <w:spacing w:line="360" w:lineRule="auto"/>
      <w:ind w:firstLine="200" w:firstLineChars="200"/>
    </w:pPr>
    <w:rPr>
      <w:rFonts w:ascii="Tahoma" w:hAnsi="Tahoma"/>
      <w:kern w:val="2"/>
      <w:sz w:val="24"/>
    </w:rPr>
  </w:style>
  <w:style w:type="paragraph" w:customStyle="1" w:styleId="338">
    <w:name w:val="空半行"/>
    <w:basedOn w:val="1"/>
    <w:qFormat/>
    <w:uiPriority w:val="0"/>
    <w:pPr>
      <w:adjustRightInd w:val="0"/>
      <w:spacing w:line="120" w:lineRule="exact"/>
      <w:textAlignment w:val="baseline"/>
    </w:pPr>
    <w:rPr>
      <w:rFonts w:eastAsia="仿宋_GB2312"/>
      <w:color w:val="FFFFFF"/>
      <w:kern w:val="0"/>
      <w:sz w:val="30"/>
      <w:szCs w:val="20"/>
    </w:rPr>
  </w:style>
  <w:style w:type="paragraph" w:customStyle="1" w:styleId="339">
    <w:name w:val="p15"/>
    <w:basedOn w:val="1"/>
    <w:qFormat/>
    <w:uiPriority w:val="0"/>
    <w:pPr>
      <w:widowControl/>
      <w:spacing w:after="120"/>
    </w:pPr>
    <w:rPr>
      <w:kern w:val="0"/>
      <w:szCs w:val="21"/>
    </w:rPr>
  </w:style>
  <w:style w:type="paragraph" w:customStyle="1" w:styleId="340">
    <w:name w:val="正  文"/>
    <w:basedOn w:val="1"/>
    <w:qFormat/>
    <w:uiPriority w:val="0"/>
    <w:pPr>
      <w:spacing w:line="360" w:lineRule="auto"/>
      <w:ind w:firstLine="200" w:firstLineChars="200"/>
    </w:pPr>
    <w:rPr>
      <w:rFonts w:ascii="宋体" w:hAnsi="Calibri"/>
      <w:sz w:val="24"/>
    </w:rPr>
  </w:style>
  <w:style w:type="paragraph" w:customStyle="1" w:styleId="341">
    <w:name w:val="列出段落11"/>
    <w:basedOn w:val="1"/>
    <w:qFormat/>
    <w:uiPriority w:val="0"/>
    <w:pPr>
      <w:ind w:firstLine="420" w:firstLineChars="200"/>
    </w:pPr>
    <w:rPr>
      <w:sz w:val="28"/>
      <w:szCs w:val="28"/>
    </w:rPr>
  </w:style>
  <w:style w:type="paragraph" w:customStyle="1" w:styleId="342">
    <w:name w:val="reader-word-layer"/>
    <w:basedOn w:val="1"/>
    <w:qFormat/>
    <w:uiPriority w:val="0"/>
    <w:pPr>
      <w:widowControl/>
      <w:spacing w:before="100" w:beforeAutospacing="1" w:after="100" w:afterAutospacing="1"/>
      <w:jc w:val="left"/>
    </w:pPr>
    <w:rPr>
      <w:rFonts w:ascii="宋体" w:hAnsi="宋体" w:cs="宋体"/>
      <w:kern w:val="0"/>
      <w:sz w:val="24"/>
    </w:rPr>
  </w:style>
  <w:style w:type="paragraph" w:customStyle="1" w:styleId="343">
    <w:name w:val="样式 标题 1 + 黑体 三号 非加粗 居中 段前: 6 磅 段后: 6 磅 行距: 固定值 20 磅"/>
    <w:basedOn w:val="3"/>
    <w:qFormat/>
    <w:uiPriority w:val="0"/>
    <w:pPr>
      <w:spacing w:before="120" w:after="120" w:line="400" w:lineRule="exact"/>
      <w:jc w:val="center"/>
    </w:pPr>
    <w:rPr>
      <w:rFonts w:ascii="黑体" w:hAnsi="黑体" w:eastAsia="黑体" w:cs="宋体"/>
      <w:b w:val="0"/>
      <w:bCs w:val="0"/>
      <w:sz w:val="32"/>
      <w:szCs w:val="20"/>
    </w:rPr>
  </w:style>
  <w:style w:type="paragraph" w:customStyle="1" w:styleId="344">
    <w:name w:val="表格文字"/>
    <w:basedOn w:val="1"/>
    <w:qFormat/>
    <w:uiPriority w:val="0"/>
    <w:pPr>
      <w:adjustRightInd w:val="0"/>
      <w:spacing w:line="420" w:lineRule="atLeast"/>
      <w:jc w:val="left"/>
      <w:textAlignment w:val="baseline"/>
    </w:pPr>
    <w:rPr>
      <w:kern w:val="0"/>
      <w:szCs w:val="20"/>
    </w:rPr>
  </w:style>
  <w:style w:type="paragraph" w:customStyle="1" w:styleId="345">
    <w:name w:val="表格"/>
    <w:basedOn w:val="1"/>
    <w:qFormat/>
    <w:uiPriority w:val="0"/>
    <w:pPr>
      <w:jc w:val="center"/>
      <w:textAlignment w:val="center"/>
    </w:pPr>
    <w:rPr>
      <w:rFonts w:ascii="华文细黑" w:hAnsi="华文细黑"/>
      <w:kern w:val="0"/>
      <w:szCs w:val="20"/>
    </w:rPr>
  </w:style>
  <w:style w:type="paragraph" w:customStyle="1" w:styleId="346">
    <w:name w:val="Char11"/>
    <w:basedOn w:val="1"/>
    <w:qFormat/>
    <w:uiPriority w:val="0"/>
  </w:style>
  <w:style w:type="paragraph" w:customStyle="1" w:styleId="347">
    <w:name w:val="TOC 标题11"/>
    <w:basedOn w:val="3"/>
    <w:next w:val="1"/>
    <w:qFormat/>
    <w:uiPriority w:val="0"/>
    <w:pPr>
      <w:widowControl/>
      <w:spacing w:before="480" w:after="0" w:line="276" w:lineRule="auto"/>
      <w:jc w:val="left"/>
      <w:outlineLvl w:val="9"/>
    </w:pPr>
    <w:rPr>
      <w:rFonts w:ascii="Cambria" w:hAnsi="Cambria"/>
      <w:color w:val="365F91"/>
      <w:kern w:val="0"/>
      <w:sz w:val="28"/>
      <w:szCs w:val="28"/>
    </w:rPr>
  </w:style>
  <w:style w:type="paragraph" w:customStyle="1" w:styleId="348">
    <w:name w:val="引用1"/>
    <w:basedOn w:val="1"/>
    <w:next w:val="1"/>
    <w:link w:val="349"/>
    <w:qFormat/>
    <w:uiPriority w:val="29"/>
    <w:rPr>
      <w:i/>
      <w:iCs/>
      <w:color w:val="000000"/>
      <w:szCs w:val="22"/>
    </w:rPr>
  </w:style>
  <w:style w:type="character" w:customStyle="1" w:styleId="349">
    <w:name w:val="引用 字符"/>
    <w:link w:val="348"/>
    <w:qFormat/>
    <w:uiPriority w:val="29"/>
    <w:rPr>
      <w:i/>
      <w:iCs/>
      <w:color w:val="000000"/>
      <w:kern w:val="2"/>
      <w:sz w:val="21"/>
      <w:szCs w:val="22"/>
    </w:rPr>
  </w:style>
  <w:style w:type="paragraph" w:customStyle="1" w:styleId="350">
    <w:name w:val="修订11"/>
    <w:qFormat/>
    <w:uiPriority w:val="0"/>
    <w:rPr>
      <w:rFonts w:ascii="Times New Roman" w:hAnsi="Times New Roman" w:eastAsia="宋体" w:cs="Times New Roman"/>
      <w:kern w:val="2"/>
      <w:sz w:val="21"/>
      <w:szCs w:val="24"/>
      <w:lang w:val="en-US" w:eastAsia="zh-CN" w:bidi="ar-SA"/>
    </w:rPr>
  </w:style>
  <w:style w:type="paragraph" w:customStyle="1" w:styleId="351">
    <w:name w:val="xl65"/>
    <w:basedOn w:val="1"/>
    <w:qFormat/>
    <w:uiPriority w:val="0"/>
    <w:pPr>
      <w:widowControl/>
      <w:spacing w:before="100" w:beforeAutospacing="1" w:after="100" w:afterAutospacing="1"/>
      <w:jc w:val="center"/>
    </w:pPr>
    <w:rPr>
      <w:rFonts w:ascii="黑体" w:hAnsi="宋体" w:eastAsia="黑体"/>
      <w:b/>
      <w:kern w:val="0"/>
      <w:sz w:val="36"/>
      <w:szCs w:val="20"/>
    </w:rPr>
  </w:style>
  <w:style w:type="paragraph" w:customStyle="1" w:styleId="352">
    <w:name w:val="Char2"/>
    <w:basedOn w:val="1"/>
    <w:qFormat/>
    <w:uiPriority w:val="0"/>
    <w:rPr>
      <w:rFonts w:ascii="Calibri" w:hAnsi="Calibri"/>
    </w:rPr>
  </w:style>
  <w:style w:type="paragraph" w:customStyle="1" w:styleId="353">
    <w:name w:val="无间隔2"/>
    <w:qFormat/>
    <w:uiPriority w:val="0"/>
    <w:pPr>
      <w:widowControl w:val="0"/>
      <w:jc w:val="both"/>
    </w:pPr>
    <w:rPr>
      <w:rFonts w:ascii="Calibri" w:hAnsi="Calibri" w:eastAsia="宋体" w:cs="Times New Roman"/>
      <w:kern w:val="2"/>
      <w:sz w:val="21"/>
      <w:szCs w:val="22"/>
      <w:lang w:val="en-US" w:eastAsia="zh-CN" w:bidi="ar-SA"/>
    </w:rPr>
  </w:style>
  <w:style w:type="paragraph" w:customStyle="1" w:styleId="354">
    <w:name w:val="TOC 标题1"/>
    <w:basedOn w:val="3"/>
    <w:next w:val="1"/>
    <w:qFormat/>
    <w:uiPriority w:val="0"/>
    <w:pPr>
      <w:widowControl/>
      <w:spacing w:before="480" w:after="0" w:line="276" w:lineRule="auto"/>
      <w:jc w:val="left"/>
      <w:outlineLvl w:val="9"/>
    </w:pPr>
    <w:rPr>
      <w:rFonts w:ascii="Cambria" w:hAnsi="Cambria"/>
      <w:color w:val="365F91"/>
      <w:kern w:val="0"/>
      <w:sz w:val="28"/>
      <w:szCs w:val="28"/>
    </w:rPr>
  </w:style>
  <w:style w:type="paragraph" w:customStyle="1" w:styleId="355">
    <w:name w:val="表格标题"/>
    <w:basedOn w:val="316"/>
    <w:qFormat/>
    <w:uiPriority w:val="0"/>
  </w:style>
  <w:style w:type="paragraph" w:customStyle="1" w:styleId="356">
    <w:name w:val="g11"/>
    <w:basedOn w:val="1"/>
    <w:qFormat/>
    <w:uiPriority w:val="0"/>
    <w:pPr>
      <w:widowControl/>
      <w:spacing w:before="100" w:beforeAutospacing="1" w:after="100" w:afterAutospacing="1" w:line="465" w:lineRule="atLeast"/>
      <w:jc w:val="left"/>
    </w:pPr>
    <w:rPr>
      <w:rFonts w:ascii="华文中宋" w:hAnsi="华文中宋" w:eastAsia="华文中宋" w:cs="宋体"/>
      <w:b/>
      <w:bCs/>
      <w:color w:val="FF0000"/>
      <w:kern w:val="0"/>
      <w:sz w:val="31"/>
      <w:szCs w:val="31"/>
    </w:rPr>
  </w:style>
  <w:style w:type="paragraph" w:customStyle="1" w:styleId="357">
    <w:name w:val="2"/>
    <w:next w:val="1"/>
    <w:qFormat/>
    <w:uiPriority w:val="99"/>
    <w:pPr>
      <w:widowControl w:val="0"/>
      <w:jc w:val="both"/>
    </w:pPr>
    <w:rPr>
      <w:rFonts w:ascii="Calibri" w:hAnsi="Calibri" w:eastAsia="宋体" w:cs="Times New Roman"/>
      <w:kern w:val="2"/>
      <w:sz w:val="21"/>
      <w:szCs w:val="24"/>
      <w:lang w:val="en-US" w:eastAsia="zh-CN" w:bidi="ar-SA"/>
    </w:rPr>
  </w:style>
  <w:style w:type="paragraph" w:customStyle="1" w:styleId="358">
    <w:name w:val="intel1"/>
    <w:basedOn w:val="1"/>
    <w:qFormat/>
    <w:uiPriority w:val="0"/>
    <w:pPr>
      <w:widowControl/>
      <w:spacing w:before="100" w:beforeAutospacing="1" w:after="100" w:afterAutospacing="1"/>
      <w:jc w:val="left"/>
    </w:pPr>
    <w:rPr>
      <w:rFonts w:ascii="宋体" w:hAnsi="宋体" w:cs="宋体"/>
      <w:kern w:val="0"/>
      <w:sz w:val="24"/>
    </w:rPr>
  </w:style>
  <w:style w:type="paragraph" w:customStyle="1" w:styleId="359">
    <w:name w:val="style12"/>
    <w:basedOn w:val="1"/>
    <w:qFormat/>
    <w:uiPriority w:val="0"/>
    <w:pPr>
      <w:widowControl/>
      <w:spacing w:before="100" w:beforeAutospacing="1" w:after="100" w:afterAutospacing="1"/>
      <w:jc w:val="left"/>
    </w:pPr>
    <w:rPr>
      <w:rFonts w:ascii="宋体" w:hAnsi="宋体" w:cs="宋体"/>
      <w:kern w:val="0"/>
      <w:sz w:val="18"/>
      <w:szCs w:val="18"/>
    </w:rPr>
  </w:style>
  <w:style w:type="paragraph" w:customStyle="1" w:styleId="360">
    <w:name w:val="标题2"/>
    <w:basedOn w:val="1"/>
    <w:qFormat/>
    <w:uiPriority w:val="0"/>
    <w:pPr>
      <w:widowControl/>
      <w:spacing w:before="100" w:beforeAutospacing="1" w:after="100" w:afterAutospacing="1"/>
      <w:jc w:val="left"/>
    </w:pPr>
    <w:rPr>
      <w:rFonts w:ascii="宋体" w:hAnsi="宋体" w:cs="宋体"/>
      <w:kern w:val="0"/>
      <w:sz w:val="24"/>
    </w:rPr>
  </w:style>
  <w:style w:type="paragraph" w:customStyle="1" w:styleId="361">
    <w:name w:val="WW-表格标题"/>
    <w:basedOn w:val="331"/>
    <w:qFormat/>
    <w:uiPriority w:val="0"/>
  </w:style>
  <w:style w:type="paragraph" w:customStyle="1" w:styleId="362">
    <w:name w:val="ly"/>
    <w:basedOn w:val="1"/>
    <w:qFormat/>
    <w:uiPriority w:val="0"/>
    <w:pPr>
      <w:widowControl/>
      <w:spacing w:before="30"/>
      <w:jc w:val="right"/>
    </w:pPr>
    <w:rPr>
      <w:rFonts w:ascii="方正书宋简体" w:hAnsi="宋体" w:eastAsia="方正书宋简体"/>
      <w:color w:val="000000"/>
      <w:kern w:val="0"/>
      <w:szCs w:val="21"/>
    </w:rPr>
  </w:style>
  <w:style w:type="paragraph" w:customStyle="1" w:styleId="363">
    <w:name w:val="标准样式1"/>
    <w:basedOn w:val="1"/>
    <w:qFormat/>
    <w:uiPriority w:val="0"/>
    <w:pPr>
      <w:spacing w:line="600" w:lineRule="exact"/>
      <w:ind w:firstLine="567"/>
    </w:pPr>
    <w:rPr>
      <w:rFonts w:ascii="Calibri" w:hAnsi="Calibri"/>
      <w:sz w:val="28"/>
    </w:rPr>
  </w:style>
  <w:style w:type="paragraph" w:customStyle="1" w:styleId="364">
    <w:name w:val="Char3"/>
    <w:basedOn w:val="1"/>
    <w:qFormat/>
    <w:uiPriority w:val="0"/>
  </w:style>
  <w:style w:type="paragraph" w:customStyle="1" w:styleId="365">
    <w:name w:val="p17"/>
    <w:basedOn w:val="1"/>
    <w:qFormat/>
    <w:uiPriority w:val="0"/>
    <w:pPr>
      <w:widowControl/>
      <w:spacing w:before="120" w:after="120"/>
      <w:jc w:val="left"/>
    </w:pPr>
    <w:rPr>
      <w:rFonts w:ascii="Calibri" w:hAnsi="Calibri" w:cs="宋体"/>
      <w:b/>
      <w:bCs/>
      <w:caps/>
      <w:kern w:val="0"/>
      <w:sz w:val="28"/>
      <w:szCs w:val="28"/>
    </w:rPr>
  </w:style>
  <w:style w:type="paragraph" w:customStyle="1" w:styleId="366">
    <w:name w:val="Char Char1 Char Char"/>
    <w:basedOn w:val="15"/>
    <w:qFormat/>
    <w:uiPriority w:val="0"/>
    <w:pPr>
      <w:shd w:val="clear" w:color="auto" w:fill="auto"/>
      <w:tabs>
        <w:tab w:val="left" w:pos="630"/>
      </w:tabs>
      <w:adjustRightInd w:val="0"/>
      <w:spacing w:line="436" w:lineRule="exact"/>
      <w:ind w:left="357"/>
      <w:jc w:val="left"/>
      <w:outlineLvl w:val="3"/>
    </w:pPr>
    <w:rPr>
      <w:rFonts w:eastAsia="Times New Roman"/>
      <w:kern w:val="2"/>
      <w:sz w:val="18"/>
      <w:szCs w:val="20"/>
    </w:rPr>
  </w:style>
  <w:style w:type="paragraph" w:customStyle="1" w:styleId="367">
    <w:name w:val="_Style 87"/>
    <w:basedOn w:val="1"/>
    <w:qFormat/>
    <w:uiPriority w:val="99"/>
    <w:pPr>
      <w:ind w:firstLine="420" w:firstLineChars="200"/>
    </w:pPr>
    <w:rPr>
      <w:rFonts w:ascii="Calibri" w:hAnsi="Calibri"/>
      <w:sz w:val="28"/>
      <w:szCs w:val="28"/>
    </w:rPr>
  </w:style>
  <w:style w:type="paragraph" w:customStyle="1" w:styleId="368">
    <w:name w:val="自定样式1"/>
    <w:basedOn w:val="1"/>
    <w:qFormat/>
    <w:uiPriority w:val="0"/>
    <w:pPr>
      <w:suppressAutoHyphens/>
      <w:jc w:val="center"/>
    </w:pPr>
    <w:rPr>
      <w:rFonts w:ascii="宋体" w:hAnsi="宋体"/>
      <w:color w:val="000000"/>
      <w:sz w:val="18"/>
    </w:rPr>
  </w:style>
  <w:style w:type="paragraph" w:customStyle="1" w:styleId="369">
    <w:name w:val="p0"/>
    <w:basedOn w:val="1"/>
    <w:qFormat/>
    <w:uiPriority w:val="0"/>
    <w:pPr>
      <w:widowControl/>
      <w:spacing w:before="100" w:beforeAutospacing="1" w:after="100" w:afterAutospacing="1"/>
      <w:jc w:val="left"/>
    </w:pPr>
    <w:rPr>
      <w:rFonts w:ascii="宋体" w:hAnsi="宋体" w:cs="宋体"/>
      <w:kern w:val="0"/>
      <w:sz w:val="24"/>
    </w:rPr>
  </w:style>
  <w:style w:type="paragraph" w:customStyle="1" w:styleId="370">
    <w:name w:val="样式 标题 2 + Times New Roman 四号 非加粗 段前: 5 磅 段后: 0 磅 行距: 固定值 20..."/>
    <w:basedOn w:val="4"/>
    <w:qFormat/>
    <w:uiPriority w:val="0"/>
    <w:pPr>
      <w:keepNext/>
      <w:keepLines/>
      <w:autoSpaceDE/>
      <w:autoSpaceDN/>
      <w:adjustRightInd/>
      <w:snapToGrid/>
      <w:spacing w:before="100" w:line="400" w:lineRule="exact"/>
      <w:jc w:val="both"/>
    </w:pPr>
    <w:rPr>
      <w:rFonts w:ascii="Times New Roman" w:eastAsia="黑体" w:cs="宋体"/>
      <w:b w:val="0"/>
      <w:spacing w:val="0"/>
      <w:w w:val="100"/>
      <w:kern w:val="2"/>
      <w:szCs w:val="20"/>
    </w:rPr>
  </w:style>
  <w:style w:type="character" w:customStyle="1" w:styleId="371">
    <w:name w:val="未处理的提及1"/>
    <w:unhideWhenUsed/>
    <w:qFormat/>
    <w:uiPriority w:val="99"/>
    <w:rPr>
      <w:color w:val="808080"/>
      <w:shd w:val="clear" w:color="auto" w:fill="E6E6E6"/>
    </w:rPr>
  </w:style>
  <w:style w:type="character" w:customStyle="1" w:styleId="372">
    <w:name w:val="textcontents"/>
    <w:qFormat/>
    <w:uiPriority w:val="0"/>
    <w:rPr>
      <w:rFonts w:cs="Times New Roman"/>
    </w:rPr>
  </w:style>
  <w:style w:type="character" w:customStyle="1" w:styleId="373">
    <w:name w:val="Char Char361"/>
    <w:qFormat/>
    <w:uiPriority w:val="0"/>
    <w:rPr>
      <w:rFonts w:ascii="仿宋_GB2312" w:eastAsia="仿宋_GB2312" w:cs="MingLiU"/>
      <w:b/>
      <w:sz w:val="24"/>
      <w:szCs w:val="28"/>
    </w:rPr>
  </w:style>
  <w:style w:type="character" w:customStyle="1" w:styleId="374">
    <w:name w:val="HTML 预设格式 Char3"/>
    <w:qFormat/>
    <w:uiPriority w:val="0"/>
    <w:rPr>
      <w:rFonts w:ascii="宋体" w:hAnsi="宋体" w:eastAsia="宋体" w:cs="宋体"/>
      <w:color w:val="000000"/>
      <w:sz w:val="24"/>
      <w:szCs w:val="24"/>
      <w:lang w:val="en-US" w:eastAsia="zh-CN" w:bidi="ar-SA"/>
    </w:rPr>
  </w:style>
  <w:style w:type="character" w:customStyle="1" w:styleId="375">
    <w:name w:val="文档结构图 Char4"/>
    <w:qFormat/>
    <w:uiPriority w:val="0"/>
    <w:rPr>
      <w:rFonts w:eastAsia="宋体"/>
      <w:kern w:val="2"/>
      <w:sz w:val="21"/>
      <w:szCs w:val="24"/>
      <w:lang w:val="en-US" w:eastAsia="zh-CN" w:bidi="ar-SA"/>
    </w:rPr>
  </w:style>
  <w:style w:type="character" w:customStyle="1" w:styleId="376">
    <w:name w:val="日期 Char4"/>
    <w:qFormat/>
    <w:uiPriority w:val="0"/>
    <w:rPr>
      <w:rFonts w:eastAsia="宋体"/>
      <w:kern w:val="2"/>
      <w:sz w:val="21"/>
      <w:szCs w:val="24"/>
      <w:lang w:val="en-US" w:eastAsia="zh-CN" w:bidi="ar-SA"/>
    </w:rPr>
  </w:style>
  <w:style w:type="character" w:customStyle="1" w:styleId="377">
    <w:name w:val="Section Char"/>
    <w:qFormat/>
    <w:uiPriority w:val="0"/>
    <w:rPr>
      <w:rFonts w:ascii="仿宋_GB2312" w:eastAsia="仿宋_GB2312" w:cs="MingLiU"/>
      <w:b/>
      <w:sz w:val="24"/>
      <w:szCs w:val="28"/>
      <w:lang w:val="en-US" w:eastAsia="zh-CN" w:bidi="ar-SA"/>
    </w:rPr>
  </w:style>
  <w:style w:type="character" w:customStyle="1" w:styleId="378">
    <w:name w:val="_Style 170"/>
    <w:qFormat/>
    <w:uiPriority w:val="0"/>
    <w:rPr>
      <w:i/>
      <w:iCs/>
      <w:color w:val="808080"/>
    </w:rPr>
  </w:style>
  <w:style w:type="character" w:customStyle="1" w:styleId="379">
    <w:name w:val="_Style 171"/>
    <w:qFormat/>
    <w:uiPriority w:val="0"/>
    <w:rPr>
      <w:b/>
      <w:bCs/>
      <w:smallCaps/>
      <w:color w:val="C0504D"/>
      <w:spacing w:val="5"/>
      <w:u w:val="single"/>
    </w:rPr>
  </w:style>
  <w:style w:type="character" w:customStyle="1" w:styleId="380">
    <w:name w:val="_Style 174"/>
    <w:qFormat/>
    <w:uiPriority w:val="0"/>
    <w:rPr>
      <w:b/>
      <w:bCs/>
      <w:i/>
      <w:iCs/>
      <w:color w:val="4F81BD"/>
    </w:rPr>
  </w:style>
  <w:style w:type="character" w:customStyle="1" w:styleId="381">
    <w:name w:val="Char Char351"/>
    <w:qFormat/>
    <w:uiPriority w:val="0"/>
    <w:rPr>
      <w:rFonts w:ascii="仿宋_GB2312" w:eastAsia="仿宋_GB2312" w:cs="MingLiU"/>
      <w:b/>
      <w:sz w:val="24"/>
      <w:szCs w:val="28"/>
    </w:rPr>
  </w:style>
  <w:style w:type="character" w:customStyle="1" w:styleId="382">
    <w:name w:val="Char Char221"/>
    <w:qFormat/>
    <w:uiPriority w:val="0"/>
    <w:rPr>
      <w:b/>
      <w:bCs/>
      <w:kern w:val="2"/>
      <w:sz w:val="32"/>
      <w:szCs w:val="32"/>
    </w:rPr>
  </w:style>
  <w:style w:type="character" w:customStyle="1" w:styleId="383">
    <w:name w:val="明显强调11"/>
    <w:qFormat/>
    <w:uiPriority w:val="0"/>
    <w:rPr>
      <w:b/>
      <w:bCs/>
      <w:i/>
      <w:iCs/>
      <w:color w:val="4F81BD"/>
    </w:rPr>
  </w:style>
  <w:style w:type="character" w:customStyle="1" w:styleId="384">
    <w:name w:val="s3"/>
    <w:qFormat/>
    <w:uiPriority w:val="0"/>
  </w:style>
  <w:style w:type="character" w:customStyle="1" w:styleId="385">
    <w:name w:val="Char Char331"/>
    <w:qFormat/>
    <w:uiPriority w:val="0"/>
    <w:rPr>
      <w:rFonts w:ascii="仿宋_GB2312" w:eastAsia="仿宋_GB2312" w:cs="MingLiU"/>
      <w:b/>
      <w:sz w:val="24"/>
      <w:szCs w:val="28"/>
    </w:rPr>
  </w:style>
  <w:style w:type="character" w:customStyle="1" w:styleId="386">
    <w:name w:val="l1"/>
    <w:qFormat/>
    <w:uiPriority w:val="0"/>
  </w:style>
  <w:style w:type="character" w:customStyle="1" w:styleId="387">
    <w:name w:val="手改 Char Char"/>
    <w:qFormat/>
    <w:uiPriority w:val="0"/>
    <w:rPr>
      <w:kern w:val="2"/>
      <w:sz w:val="21"/>
      <w:szCs w:val="24"/>
    </w:rPr>
  </w:style>
  <w:style w:type="character" w:customStyle="1" w:styleId="388">
    <w:name w:val="页脚 Char2"/>
    <w:qFormat/>
    <w:uiPriority w:val="0"/>
    <w:rPr>
      <w:rFonts w:eastAsia="宋体"/>
      <w:kern w:val="2"/>
      <w:sz w:val="18"/>
      <w:szCs w:val="18"/>
      <w:lang w:val="en-US" w:eastAsia="zh-CN" w:bidi="ar-SA"/>
    </w:rPr>
  </w:style>
  <w:style w:type="character" w:customStyle="1" w:styleId="389">
    <w:name w:val="_Style 197"/>
    <w:qFormat/>
    <w:uiPriority w:val="0"/>
    <w:rPr>
      <w:b/>
      <w:bCs/>
      <w:smallCaps/>
      <w:spacing w:val="5"/>
    </w:rPr>
  </w:style>
  <w:style w:type="character" w:customStyle="1" w:styleId="390">
    <w:name w:val="批注框文本 Char4"/>
    <w:qFormat/>
    <w:uiPriority w:val="0"/>
    <w:rPr>
      <w:rFonts w:eastAsia="宋体"/>
      <w:kern w:val="2"/>
      <w:sz w:val="18"/>
      <w:szCs w:val="18"/>
      <w:lang w:val="en-US" w:eastAsia="zh-CN" w:bidi="ar-SA"/>
    </w:rPr>
  </w:style>
  <w:style w:type="character" w:customStyle="1" w:styleId="391">
    <w:name w:val="尾注文本 Char3"/>
    <w:qFormat/>
    <w:uiPriority w:val="0"/>
    <w:rPr>
      <w:rFonts w:ascii="Arial" w:hAnsi="Arial" w:eastAsia="宋体" w:cs="Arial"/>
      <w:szCs w:val="24"/>
      <w:lang w:val="en-US" w:eastAsia="en-US" w:bidi="ar-SA"/>
    </w:rPr>
  </w:style>
  <w:style w:type="character" w:customStyle="1" w:styleId="392">
    <w:name w:val="明显参考11"/>
    <w:qFormat/>
    <w:uiPriority w:val="0"/>
    <w:rPr>
      <w:b/>
      <w:bCs/>
      <w:smallCaps/>
      <w:color w:val="C0504D"/>
      <w:spacing w:val="5"/>
      <w:u w:val="single"/>
    </w:rPr>
  </w:style>
  <w:style w:type="character" w:customStyle="1" w:styleId="393">
    <w:name w:val="尾注文本 Char1"/>
    <w:qFormat/>
    <w:uiPriority w:val="0"/>
    <w:rPr>
      <w:rFonts w:ascii="Arial" w:hAnsi="Arial" w:cs="Arial"/>
      <w:szCs w:val="24"/>
      <w:lang w:eastAsia="en-US"/>
    </w:rPr>
  </w:style>
  <w:style w:type="character" w:customStyle="1" w:styleId="394">
    <w:name w:val="docpro"/>
    <w:qFormat/>
    <w:uiPriority w:val="0"/>
  </w:style>
  <w:style w:type="character" w:customStyle="1" w:styleId="395">
    <w:name w:val="正文文本 Char4"/>
    <w:qFormat/>
    <w:uiPriority w:val="0"/>
    <w:rPr>
      <w:rFonts w:eastAsia="宋体"/>
      <w:kern w:val="2"/>
      <w:sz w:val="21"/>
      <w:szCs w:val="24"/>
      <w:lang w:val="en-US" w:eastAsia="zh-CN" w:bidi="ar-SA"/>
    </w:rPr>
  </w:style>
  <w:style w:type="character" w:customStyle="1" w:styleId="396">
    <w:name w:val="ITTHEADER1 Char"/>
    <w:qFormat/>
    <w:uiPriority w:val="0"/>
    <w:rPr>
      <w:rFonts w:eastAsia="黑体"/>
      <w:kern w:val="2"/>
      <w:sz w:val="44"/>
      <w:szCs w:val="44"/>
      <w:lang w:val="en-US" w:eastAsia="zh-CN" w:bidi="ar-SA"/>
    </w:rPr>
  </w:style>
  <w:style w:type="character" w:customStyle="1" w:styleId="397">
    <w:name w:val="标题 6 Char2"/>
    <w:qFormat/>
    <w:uiPriority w:val="0"/>
    <w:rPr>
      <w:rFonts w:hAnsi="Arial" w:eastAsia="仿宋_GB2312"/>
      <w:sz w:val="30"/>
      <w:lang w:val="en-US" w:eastAsia="zh-CN" w:bidi="ar-SA"/>
    </w:rPr>
  </w:style>
  <w:style w:type="character" w:customStyle="1" w:styleId="398">
    <w:name w:val="正文文本缩进 2 Char3"/>
    <w:qFormat/>
    <w:uiPriority w:val="0"/>
    <w:rPr>
      <w:rFonts w:eastAsia="宋体"/>
      <w:sz w:val="28"/>
      <w:szCs w:val="24"/>
      <w:lang w:val="en-US" w:eastAsia="zh-CN" w:bidi="ar-SA"/>
    </w:rPr>
  </w:style>
  <w:style w:type="character" w:customStyle="1" w:styleId="399">
    <w:name w:val="正文文本缩进 Char3"/>
    <w:qFormat/>
    <w:uiPriority w:val="0"/>
    <w:rPr>
      <w:rFonts w:eastAsia="宋体"/>
      <w:kern w:val="2"/>
      <w:sz w:val="21"/>
      <w:szCs w:val="24"/>
      <w:lang w:val="en-US" w:eastAsia="zh-CN" w:bidi="ar-SA"/>
    </w:rPr>
  </w:style>
  <w:style w:type="character" w:customStyle="1" w:styleId="400">
    <w:name w:val="标题 9 Char2"/>
    <w:qFormat/>
    <w:uiPriority w:val="0"/>
    <w:rPr>
      <w:rFonts w:eastAsia="仿宋_GB2312"/>
      <w:sz w:val="30"/>
      <w:lang w:val="en-US" w:eastAsia="zh-CN" w:bidi="ar-SA"/>
    </w:rPr>
  </w:style>
  <w:style w:type="character" w:customStyle="1" w:styleId="401">
    <w:name w:val="标题 8 Char2"/>
    <w:qFormat/>
    <w:uiPriority w:val="0"/>
    <w:rPr>
      <w:rFonts w:hAnsi="Arial" w:eastAsia="仿宋_GB2312"/>
      <w:sz w:val="30"/>
      <w:lang w:val="en-US" w:eastAsia="zh-CN" w:bidi="ar-SA"/>
    </w:rPr>
  </w:style>
  <w:style w:type="character" w:customStyle="1" w:styleId="402">
    <w:name w:val="Char Char321"/>
    <w:qFormat/>
    <w:uiPriority w:val="0"/>
    <w:rPr>
      <w:rFonts w:ascii="仿宋_GB2312" w:eastAsia="仿宋_GB2312" w:cs="MingLiU"/>
      <w:b/>
      <w:spacing w:val="1"/>
      <w:w w:val="99"/>
      <w:sz w:val="28"/>
      <w:szCs w:val="32"/>
    </w:rPr>
  </w:style>
  <w:style w:type="character" w:customStyle="1" w:styleId="403">
    <w:name w:val="正文文本缩进 3 Char3"/>
    <w:qFormat/>
    <w:uiPriority w:val="0"/>
    <w:rPr>
      <w:rFonts w:ascii="宋体" w:hAnsi="宋体" w:eastAsia="宋体"/>
      <w:kern w:val="2"/>
      <w:sz w:val="28"/>
      <w:szCs w:val="28"/>
      <w:lang w:val="en-US" w:eastAsia="zh-CN" w:bidi="ar-SA"/>
    </w:rPr>
  </w:style>
  <w:style w:type="character" w:customStyle="1" w:styleId="404">
    <w:name w:val="Char Char17"/>
    <w:qFormat/>
    <w:uiPriority w:val="0"/>
    <w:rPr>
      <w:kern w:val="2"/>
      <w:sz w:val="26"/>
      <w:szCs w:val="24"/>
    </w:rPr>
  </w:style>
  <w:style w:type="character" w:customStyle="1" w:styleId="405">
    <w:name w:val="unnamed1"/>
    <w:qFormat/>
    <w:uiPriority w:val="0"/>
  </w:style>
  <w:style w:type="character" w:customStyle="1" w:styleId="406">
    <w:name w:val="正文文本 3 Char3"/>
    <w:qFormat/>
    <w:uiPriority w:val="0"/>
    <w:rPr>
      <w:rFonts w:eastAsia="宋体"/>
      <w:kern w:val="2"/>
      <w:sz w:val="16"/>
      <w:szCs w:val="16"/>
      <w:lang w:val="en-US" w:eastAsia="zh-CN" w:bidi="ar-SA"/>
    </w:rPr>
  </w:style>
  <w:style w:type="character" w:customStyle="1" w:styleId="407">
    <w:name w:val="intel3"/>
    <w:qFormat/>
    <w:uiPriority w:val="0"/>
  </w:style>
  <w:style w:type="character" w:customStyle="1" w:styleId="408">
    <w:name w:val="标题 5 Char2"/>
    <w:qFormat/>
    <w:uiPriority w:val="0"/>
    <w:rPr>
      <w:rFonts w:ascii="宋体" w:hAnsi="宋体" w:eastAsia="宋体" w:cs="宋体"/>
      <w:b/>
      <w:bCs/>
      <w:lang w:val="en-US" w:eastAsia="zh-CN" w:bidi="ar-SA"/>
    </w:rPr>
  </w:style>
  <w:style w:type="character" w:customStyle="1" w:styleId="409">
    <w:name w:val="不明显强调11"/>
    <w:qFormat/>
    <w:uiPriority w:val="0"/>
    <w:rPr>
      <w:i/>
      <w:iCs/>
      <w:color w:val="808080"/>
    </w:rPr>
  </w:style>
  <w:style w:type="character" w:customStyle="1" w:styleId="410">
    <w:name w:val="标题 7 Char2"/>
    <w:qFormat/>
    <w:uiPriority w:val="0"/>
    <w:rPr>
      <w:rFonts w:eastAsia="仿宋_GB2312"/>
      <w:sz w:val="30"/>
      <w:lang w:val="en-US" w:eastAsia="zh-CN" w:bidi="ar-SA"/>
    </w:rPr>
  </w:style>
  <w:style w:type="character" w:customStyle="1" w:styleId="411">
    <w:name w:val="页眉 Char2"/>
    <w:qFormat/>
    <w:uiPriority w:val="0"/>
    <w:rPr>
      <w:rFonts w:eastAsia="宋体"/>
      <w:kern w:val="2"/>
      <w:sz w:val="18"/>
      <w:szCs w:val="18"/>
      <w:lang w:val="en-US" w:eastAsia="zh-CN" w:bidi="ar-SA"/>
    </w:rPr>
  </w:style>
  <w:style w:type="character" w:customStyle="1" w:styleId="412">
    <w:name w:val="Char Char211"/>
    <w:qFormat/>
    <w:uiPriority w:val="0"/>
    <w:rPr>
      <w:rFonts w:ascii="宋体" w:hAnsi="宋体" w:cs="宋体"/>
      <w:b/>
      <w:bCs/>
      <w:sz w:val="24"/>
      <w:szCs w:val="24"/>
    </w:rPr>
  </w:style>
  <w:style w:type="character" w:customStyle="1" w:styleId="413">
    <w:name w:val="_Style 293"/>
    <w:qFormat/>
    <w:uiPriority w:val="0"/>
    <w:rPr>
      <w:smallCaps/>
      <w:color w:val="C0504D"/>
      <w:u w:val="single"/>
    </w:rPr>
  </w:style>
  <w:style w:type="character" w:customStyle="1" w:styleId="414">
    <w:name w:val="Char Char231"/>
    <w:qFormat/>
    <w:uiPriority w:val="0"/>
    <w:rPr>
      <w:rFonts w:ascii="Cambria" w:hAnsi="Cambria" w:eastAsia="宋体" w:cs="Times New Roman"/>
      <w:b/>
      <w:bCs/>
      <w:kern w:val="2"/>
      <w:sz w:val="32"/>
      <w:szCs w:val="32"/>
    </w:rPr>
  </w:style>
  <w:style w:type="character" w:customStyle="1" w:styleId="415">
    <w:name w:val="书籍标题11"/>
    <w:qFormat/>
    <w:uiPriority w:val="0"/>
    <w:rPr>
      <w:b/>
      <w:bCs/>
      <w:smallCaps/>
      <w:spacing w:val="5"/>
    </w:rPr>
  </w:style>
  <w:style w:type="character" w:customStyle="1" w:styleId="416">
    <w:name w:val="ITTHEADER2 Char"/>
    <w:qFormat/>
    <w:uiPriority w:val="0"/>
    <w:rPr>
      <w:rFonts w:ascii="仿宋_GB2312" w:eastAsia="仿宋_GB2312" w:cs="MingLiU"/>
      <w:b/>
      <w:spacing w:val="1"/>
      <w:w w:val="99"/>
      <w:sz w:val="28"/>
      <w:szCs w:val="32"/>
      <w:lang w:val="en-US" w:eastAsia="zh-CN" w:bidi="ar-SA"/>
    </w:rPr>
  </w:style>
  <w:style w:type="character" w:customStyle="1" w:styleId="417">
    <w:name w:val="不明显参考11"/>
    <w:qFormat/>
    <w:uiPriority w:val="0"/>
    <w:rPr>
      <w:smallCaps/>
      <w:color w:val="C0504D"/>
      <w:u w:val="single"/>
    </w:rPr>
  </w:style>
  <w:style w:type="paragraph" w:customStyle="1" w:styleId="418">
    <w:name w:val="_Style 1"/>
    <w:basedOn w:val="1"/>
    <w:qFormat/>
    <w:uiPriority w:val="34"/>
    <w:pPr>
      <w:ind w:firstLine="420" w:firstLineChars="200"/>
    </w:pPr>
  </w:style>
  <w:style w:type="paragraph" w:customStyle="1" w:styleId="419">
    <w:name w:val="1.表内内容（正文）"/>
    <w:basedOn w:val="1"/>
    <w:autoRedefine/>
    <w:qFormat/>
    <w:uiPriority w:val="0"/>
    <w:pPr>
      <w:ind w:firstLine="883"/>
    </w:pPr>
  </w:style>
  <w:style w:type="paragraph" w:customStyle="1" w:styleId="420">
    <w:name w:val="正文缩2"/>
    <w:qFormat/>
    <w:uiPriority w:val="0"/>
    <w:pPr>
      <w:spacing w:line="360" w:lineRule="auto"/>
      <w:ind w:firstLine="240" w:firstLineChars="100"/>
    </w:pPr>
    <w:rPr>
      <w:rFonts w:ascii="Calibri" w:hAnsi="Calibri" w:eastAsia="宋体" w:cs="Times New Roman"/>
      <w:color w:val="FF0000"/>
      <w:sz w:val="24"/>
      <w:szCs w:val="24"/>
      <w:lang w:val="en-US" w:eastAsia="zh-CN" w:bidi="ar-SA"/>
    </w:rPr>
  </w:style>
  <w:style w:type="paragraph" w:customStyle="1" w:styleId="421">
    <w:name w:val="2.表内内容"/>
    <w:basedOn w:val="1"/>
    <w:qFormat/>
    <w:uiPriority w:val="0"/>
    <w:pPr>
      <w:spacing w:line="300" w:lineRule="exact"/>
    </w:pPr>
  </w:style>
  <w:style w:type="character" w:customStyle="1" w:styleId="422">
    <w:name w:val="标题 2 Char"/>
    <w:link w:val="4"/>
    <w:qFormat/>
    <w:uiPriority w:val="0"/>
    <w:rPr>
      <w:rFonts w:ascii="仿宋_GB2312" w:eastAsia="仿宋_GB2312" w:cs="MingLiU"/>
      <w:b/>
      <w:spacing w:val="1"/>
      <w:w w:val="99"/>
      <w:sz w:val="28"/>
      <w:szCs w:val="32"/>
    </w:rPr>
  </w:style>
</w:styles>
</file>

<file path=word/_rels/document.xml.rels><?xml version="1.0" encoding="UTF-8" standalone="yes"?>
<Relationships xmlns="http://schemas.openxmlformats.org/package/2006/relationships"><Relationship Id="rId9" Type="http://schemas.openxmlformats.org/officeDocument/2006/relationships/header" Target="header4.xml"/><Relationship Id="rId8" Type="http://schemas.openxmlformats.org/officeDocument/2006/relationships/header" Target="header3.xml"/><Relationship Id="rId7" Type="http://schemas.openxmlformats.org/officeDocument/2006/relationships/header" Target="header2.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6" Type="http://schemas.openxmlformats.org/officeDocument/2006/relationships/fontTable" Target="fontTable.xml"/><Relationship Id="rId35" Type="http://schemas.openxmlformats.org/officeDocument/2006/relationships/numbering" Target="numbering.xml"/><Relationship Id="rId34" Type="http://schemas.openxmlformats.org/officeDocument/2006/relationships/customXml" Target="../customXml/item1.xml"/><Relationship Id="rId33" Type="http://schemas.openxmlformats.org/officeDocument/2006/relationships/image" Target="media/image6.wmf"/><Relationship Id="rId32" Type="http://schemas.openxmlformats.org/officeDocument/2006/relationships/oleObject" Target="embeddings/oleObject5.bin"/><Relationship Id="rId31" Type="http://schemas.openxmlformats.org/officeDocument/2006/relationships/image" Target="media/image5.wmf"/><Relationship Id="rId30" Type="http://schemas.openxmlformats.org/officeDocument/2006/relationships/oleObject" Target="embeddings/oleObject4.bin"/><Relationship Id="rId3" Type="http://schemas.openxmlformats.org/officeDocument/2006/relationships/header" Target="header1.xml"/><Relationship Id="rId29" Type="http://schemas.openxmlformats.org/officeDocument/2006/relationships/image" Target="media/image4.wmf"/><Relationship Id="rId28" Type="http://schemas.openxmlformats.org/officeDocument/2006/relationships/oleObject" Target="embeddings/oleObject3.bin"/><Relationship Id="rId27" Type="http://schemas.openxmlformats.org/officeDocument/2006/relationships/image" Target="media/image3.wmf"/><Relationship Id="rId26" Type="http://schemas.openxmlformats.org/officeDocument/2006/relationships/oleObject" Target="embeddings/oleObject2.bin"/><Relationship Id="rId25" Type="http://schemas.openxmlformats.org/officeDocument/2006/relationships/image" Target="media/image2.wmf"/><Relationship Id="rId24" Type="http://schemas.openxmlformats.org/officeDocument/2006/relationships/oleObject" Target="embeddings/oleObject1.bin"/><Relationship Id="rId23" Type="http://schemas.openxmlformats.org/officeDocument/2006/relationships/image" Target="media/image1.png"/><Relationship Id="rId22" Type="http://schemas.openxmlformats.org/officeDocument/2006/relationships/theme" Target="theme/theme1.xml"/><Relationship Id="rId21" Type="http://schemas.openxmlformats.org/officeDocument/2006/relationships/footer" Target="footer11.xml"/><Relationship Id="rId20" Type="http://schemas.openxmlformats.org/officeDocument/2006/relationships/footer" Target="footer10.xml"/><Relationship Id="rId2" Type="http://schemas.openxmlformats.org/officeDocument/2006/relationships/settings" Target="settings.xml"/><Relationship Id="rId19" Type="http://schemas.openxmlformats.org/officeDocument/2006/relationships/header" Target="header8.xml"/><Relationship Id="rId18" Type="http://schemas.openxmlformats.org/officeDocument/2006/relationships/footer" Target="footer9.xml"/><Relationship Id="rId17" Type="http://schemas.openxmlformats.org/officeDocument/2006/relationships/footer" Target="footer8.xml"/><Relationship Id="rId16" Type="http://schemas.openxmlformats.org/officeDocument/2006/relationships/footer" Target="footer7.xml"/><Relationship Id="rId15" Type="http://schemas.openxmlformats.org/officeDocument/2006/relationships/header" Target="header7.xml"/><Relationship Id="rId14" Type="http://schemas.openxmlformats.org/officeDocument/2006/relationships/header" Target="header6.xml"/><Relationship Id="rId13" Type="http://schemas.openxmlformats.org/officeDocument/2006/relationships/header" Target="header5.xml"/><Relationship Id="rId12" Type="http://schemas.openxmlformats.org/officeDocument/2006/relationships/footer" Target="footer6.xml"/><Relationship Id="rId11" Type="http://schemas.openxmlformats.org/officeDocument/2006/relationships/footer" Target="footer5.xml"/><Relationship Id="rId10" Type="http://schemas.openxmlformats.org/officeDocument/2006/relationships/footer" Target="footer4.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Administrator\Desktop\&#32599;&#23478;&#33457;&#22253;&#36229;&#20805;&#31449;&#39033;&#30446;&#27604;&#36873;&#25991;&#20214;22024.9.19.docx" TargetMode="Externa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罗家花园超充站项目比选文件22024.9.19</Template>
  <Pages>135</Pages>
  <Words>15360</Words>
  <Characters>16328</Characters>
  <Lines>815</Lines>
  <Paragraphs>229</Paragraphs>
  <TotalTime>107</TotalTime>
  <ScaleCrop>false</ScaleCrop>
  <LinksUpToDate>false</LinksUpToDate>
  <CharactersWithSpaces>17434</CharactersWithSpaces>
  <Application>WPS Office_12.8.2.18913_F1E327BC-269C-435d-A152-05C5408002CA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2024-09-19T16:49:00Z</dcterms:created>
  <dc:creator>陈萌</dc:creator>
  <cp:lastModifiedBy>gqy</cp:lastModifiedBy>
  <cp:lastPrinted>2024-12-02T07:45:00Z</cp:lastPrinted>
  <dcterms:modified xsi:type="dcterms:W3CDTF">2025-12-12T08:19:19Z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2052-12.8.2.18913</vt:lpwstr>
  </property>
  <property fmtid="{D5CDD505-2E9C-101B-9397-08002B2CF9AE}" pid="3" name="ICV">
    <vt:lpwstr>748C4B341BE54CAD8C9E276E8F484D94_13</vt:lpwstr>
  </property>
  <property fmtid="{D5CDD505-2E9C-101B-9397-08002B2CF9AE}" pid="4" name="KSOTemplateDocerSaveRecord">
    <vt:lpwstr>eyJoZGlkIjoiMDc3MDQ0YTlmZDVkM2JjNzZlNmRlNjYzMTJmODFmZDEiLCJ1c2VySWQiOiI0Mjk3MzI3MjAifQ==</vt:lpwstr>
  </property>
</Properties>
</file>